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D" w:rsidRDefault="006233AD" w:rsidP="006233AD">
      <w:pPr>
        <w:spacing w:after="0" w:line="240" w:lineRule="auto"/>
        <w:rPr>
          <w:rFonts w:asciiTheme="minorHAnsi" w:hAnsiTheme="minorHAnsi"/>
          <w:b/>
          <w:i w:val="0"/>
          <w:sz w:val="24"/>
          <w:szCs w:val="24"/>
          <w:u w:val="single"/>
          <w:vertAlign w:val="baseline"/>
        </w:rPr>
      </w:pPr>
      <w:r w:rsidRPr="00802219">
        <w:rPr>
          <w:rFonts w:asciiTheme="minorHAnsi" w:hAnsiTheme="minorHAnsi"/>
          <w:b/>
          <w:i w:val="0"/>
          <w:sz w:val="24"/>
          <w:szCs w:val="24"/>
          <w:u w:val="single"/>
          <w:vertAlign w:val="baseline"/>
        </w:rPr>
        <w:t>JRC</w:t>
      </w:r>
    </w:p>
    <w:p w:rsidR="006233AD" w:rsidRDefault="006233AD">
      <w:pPr>
        <w:rPr>
          <w:rFonts w:cs="Arial"/>
          <w:b/>
          <w:noProof/>
        </w:rPr>
      </w:pPr>
    </w:p>
    <w:p w:rsidR="006233AD" w:rsidRPr="006233AD" w:rsidRDefault="006233AD" w:rsidP="006233AD">
      <w:pPr>
        <w:rPr>
          <w:rFonts w:asciiTheme="minorHAnsi" w:hAnsiTheme="minorHAnsi" w:cs="Arial"/>
          <w:b/>
          <w:i w:val="0"/>
          <w:noProof/>
          <w:sz w:val="22"/>
          <w:vertAlign w:val="baseline"/>
        </w:rPr>
      </w:pPr>
      <w:r w:rsidRPr="00D54730">
        <w:rPr>
          <w:rFonts w:asciiTheme="minorHAnsi" w:hAnsiTheme="minorHAnsi" w:cs="Arial"/>
          <w:b/>
          <w:i w:val="0"/>
          <w:noProof/>
          <w:sz w:val="22"/>
          <w:vertAlign w:val="baseline"/>
        </w:rPr>
        <w:t>Dr. Marina RANGA</w:t>
      </w:r>
      <w:r w:rsidR="008217CC">
        <w:rPr>
          <w:rFonts w:asciiTheme="minorHAnsi" w:hAnsiTheme="minorHAnsi" w:cs="Arial"/>
          <w:b/>
          <w:i w:val="0"/>
          <w:noProof/>
          <w:sz w:val="22"/>
          <w:vertAlign w:val="baseline"/>
        </w:rPr>
        <w:t xml:space="preserve"> profile</w:t>
      </w: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16"/>
        <w:gridCol w:w="7073"/>
      </w:tblGrid>
      <w:tr w:rsidR="006233AD" w:rsidRPr="00D54730" w:rsidTr="00421E0D">
        <w:trPr>
          <w:trHeight w:val="554"/>
        </w:trPr>
        <w:tc>
          <w:tcPr>
            <w:tcW w:w="2816" w:type="dxa"/>
            <w:vMerge w:val="restart"/>
          </w:tcPr>
          <w:p w:rsidR="006233AD" w:rsidRPr="00D54730" w:rsidRDefault="006233AD" w:rsidP="00421E0D">
            <w:pPr>
              <w:jc w:val="center"/>
              <w:rPr>
                <w:rFonts w:asciiTheme="minorHAnsi" w:hAnsiTheme="minorHAnsi" w:cs="Arial"/>
                <w:b/>
                <w:i w:val="0"/>
                <w:noProof/>
                <w:sz w:val="22"/>
                <w:vertAlign w:val="baseline"/>
              </w:rPr>
            </w:pPr>
            <w:r w:rsidRPr="00D54730">
              <w:rPr>
                <w:rFonts w:ascii="Arial" w:hAnsi="Arial" w:cs="Arial"/>
                <w:i w:val="0"/>
                <w:noProof/>
              </w:rPr>
              <w:drawing>
                <wp:inline distT="0" distB="0" distL="0" distR="0" wp14:anchorId="6DEB6809" wp14:editId="7B031B2D">
                  <wp:extent cx="1514475" cy="15716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na-photo-e155117616146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07" cy="158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3AD" w:rsidRPr="00D54730" w:rsidRDefault="006233AD" w:rsidP="00421E0D">
            <w:pPr>
              <w:jc w:val="center"/>
              <w:rPr>
                <w:rFonts w:asciiTheme="minorHAnsi" w:hAnsiTheme="minorHAnsi" w:cs="Arial"/>
                <w:b/>
                <w:i w:val="0"/>
                <w:sz w:val="22"/>
                <w:vertAlign w:val="baseline"/>
              </w:rPr>
            </w:pPr>
            <w:r w:rsidRPr="00D54730">
              <w:rPr>
                <w:rFonts w:asciiTheme="minorHAnsi" w:hAnsiTheme="minorHAnsi" w:cs="Arial"/>
                <w:b/>
                <w:i w:val="0"/>
                <w:noProof/>
                <w:sz w:val="22"/>
                <w:vertAlign w:val="baseline"/>
              </w:rPr>
              <w:t>Dr. Marina RANGA</w:t>
            </w:r>
          </w:p>
        </w:tc>
        <w:tc>
          <w:tcPr>
            <w:tcW w:w="7073" w:type="dxa"/>
          </w:tcPr>
          <w:p w:rsidR="006233AD" w:rsidRPr="00D54730" w:rsidRDefault="006233AD" w:rsidP="00421E0D">
            <w:pPr>
              <w:tabs>
                <w:tab w:val="left" w:pos="1701"/>
              </w:tabs>
              <w:rPr>
                <w:rFonts w:cstheme="minorHAnsi"/>
                <w:b/>
                <w:bCs/>
                <w:i w:val="0"/>
                <w:sz w:val="22"/>
                <w:szCs w:val="22"/>
                <w:vertAlign w:val="baseline"/>
              </w:rPr>
            </w:pPr>
            <w:r w:rsidRPr="00D54730">
              <w:rPr>
                <w:rFonts w:asciiTheme="minorHAnsi" w:hAnsiTheme="minorHAnsi" w:cs="Arial"/>
                <w:b/>
                <w:i w:val="0"/>
                <w:sz w:val="22"/>
                <w:szCs w:val="22"/>
                <w:vertAlign w:val="baseline"/>
              </w:rPr>
              <w:t xml:space="preserve">Title: </w:t>
            </w:r>
            <w:r w:rsidRPr="00D54730">
              <w:rPr>
                <w:rFonts w:cstheme="minorHAnsi"/>
                <w:b/>
                <w:bCs/>
                <w:i w:val="0"/>
                <w:sz w:val="22"/>
                <w:szCs w:val="22"/>
                <w:vertAlign w:val="baseline"/>
              </w:rPr>
              <w:t xml:space="preserve">Smart Specialisation as a catalyst </w:t>
            </w:r>
            <w:r>
              <w:rPr>
                <w:rFonts w:cstheme="minorHAnsi"/>
                <w:b/>
                <w:bCs/>
                <w:i w:val="0"/>
                <w:sz w:val="22"/>
                <w:szCs w:val="22"/>
                <w:vertAlign w:val="baseline"/>
              </w:rPr>
              <w:t xml:space="preserve">for the development of early-stage </w:t>
            </w:r>
            <w:r w:rsidRPr="00D54730">
              <w:rPr>
                <w:rFonts w:cstheme="minorHAnsi"/>
                <w:b/>
                <w:bCs/>
                <w:i w:val="0"/>
                <w:sz w:val="22"/>
                <w:szCs w:val="22"/>
                <w:vertAlign w:val="baseline"/>
              </w:rPr>
              <w:t>regional innovat</w:t>
            </w:r>
            <w:r>
              <w:rPr>
                <w:rFonts w:cstheme="minorHAnsi"/>
                <w:b/>
                <w:bCs/>
                <w:i w:val="0"/>
                <w:sz w:val="22"/>
                <w:szCs w:val="22"/>
                <w:vertAlign w:val="baseline"/>
              </w:rPr>
              <w:t>ion systems in Lagging Regions</w:t>
            </w:r>
          </w:p>
        </w:tc>
      </w:tr>
      <w:tr w:rsidR="006233AD" w:rsidRPr="00D54730" w:rsidTr="00421E0D">
        <w:trPr>
          <w:trHeight w:val="2297"/>
        </w:trPr>
        <w:tc>
          <w:tcPr>
            <w:tcW w:w="2816" w:type="dxa"/>
            <w:vMerge/>
          </w:tcPr>
          <w:p w:rsidR="006233AD" w:rsidRPr="00D54730" w:rsidRDefault="006233AD" w:rsidP="00421E0D">
            <w:pPr>
              <w:rPr>
                <w:rFonts w:asciiTheme="minorHAnsi" w:hAnsiTheme="minorHAnsi" w:cs="Arial"/>
                <w:i w:val="0"/>
                <w:noProof/>
                <w:vertAlign w:val="baseline"/>
              </w:rPr>
            </w:pPr>
          </w:p>
        </w:tc>
        <w:tc>
          <w:tcPr>
            <w:tcW w:w="7073" w:type="dxa"/>
          </w:tcPr>
          <w:p w:rsidR="006233AD" w:rsidRPr="00D54730" w:rsidRDefault="006233AD" w:rsidP="00421E0D">
            <w:pPr>
              <w:rPr>
                <w:rFonts w:asciiTheme="minorHAnsi" w:hAnsiTheme="minorHAnsi" w:cs="Arial"/>
                <w:i w:val="0"/>
                <w:sz w:val="22"/>
                <w:vertAlign w:val="baseline"/>
              </w:rPr>
            </w:pPr>
            <w:r w:rsidRPr="00D54730">
              <w:rPr>
                <w:rFonts w:asciiTheme="minorHAnsi" w:hAnsiTheme="minorHAnsi" w:cs="Arial"/>
                <w:b/>
                <w:i w:val="0"/>
                <w:sz w:val="22"/>
                <w:vertAlign w:val="baseline"/>
              </w:rPr>
              <w:t xml:space="preserve">Outline: 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 xml:space="preserve">The presentation 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discusses the role of smart specialis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ation in cataly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s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 xml:space="preserve">ing the development of regional innovation systems in 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Lagging R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 xml:space="preserve">egions, either by facilitating the emergence of key research and innovation elements that were lacking or 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 xml:space="preserve">by 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accelerating the development of others, such as: a regional knowledge base and dynamic learning process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es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 xml:space="preserve">, institutional 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capacity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, network integration among key innovation actors, regional industrial speciali</w:t>
            </w:r>
            <w:r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s</w:t>
            </w:r>
            <w:r w:rsidRPr="00D54730">
              <w:rPr>
                <w:rFonts w:asciiTheme="minorHAnsi" w:eastAsiaTheme="minorHAnsi" w:hAnsiTheme="minorHAnsi" w:cs="AdvOT46dcae81"/>
                <w:i w:val="0"/>
                <w:sz w:val="22"/>
                <w:szCs w:val="22"/>
                <w:vertAlign w:val="baseline"/>
                <w:lang w:eastAsia="en-US"/>
              </w:rPr>
              <w:t>ations, and collective identities.</w:t>
            </w:r>
          </w:p>
        </w:tc>
      </w:tr>
      <w:tr w:rsidR="006233AD" w:rsidRPr="00D54730" w:rsidTr="00421E0D">
        <w:trPr>
          <w:trHeight w:val="274"/>
        </w:trPr>
        <w:tc>
          <w:tcPr>
            <w:tcW w:w="9889" w:type="dxa"/>
            <w:gridSpan w:val="2"/>
          </w:tcPr>
          <w:p w:rsidR="006233AD" w:rsidRPr="00827840" w:rsidRDefault="006233AD" w:rsidP="00421E0D">
            <w:pPr>
              <w:tabs>
                <w:tab w:val="left" w:pos="9560"/>
              </w:tabs>
              <w:jc w:val="both"/>
              <w:rPr>
                <w:rFonts w:ascii="Arial" w:eastAsia="Times New Roman" w:hAnsi="Arial" w:cs="Arial"/>
                <w:i w:val="0"/>
                <w:color w:val="202124"/>
                <w:sz w:val="24"/>
                <w:szCs w:val="24"/>
                <w:vertAlign w:val="baseline"/>
              </w:rPr>
            </w:pPr>
            <w:r w:rsidRPr="00D54730">
              <w:rPr>
                <w:rFonts w:asciiTheme="minorHAnsi" w:hAnsiTheme="minorHAnsi" w:cs="Arial"/>
                <w:b/>
                <w:i w:val="0"/>
                <w:sz w:val="22"/>
                <w:vertAlign w:val="baseline"/>
              </w:rPr>
              <w:t>Biography</w:t>
            </w:r>
            <w:r w:rsidRPr="00D54730">
              <w:rPr>
                <w:rFonts w:asciiTheme="minorHAnsi" w:hAnsiTheme="minorHAnsi" w:cs="Arial"/>
                <w:b/>
                <w:i w:val="0"/>
                <w:sz w:val="22"/>
                <w:szCs w:val="22"/>
                <w:vertAlign w:val="baseline"/>
              </w:rPr>
              <w:t xml:space="preserve">: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 xml:space="preserve">Dr. Marina Ranga works with the </w:t>
            </w:r>
            <w:r>
              <w:rPr>
                <w:i w:val="0"/>
                <w:sz w:val="22"/>
                <w:szCs w:val="22"/>
                <w:vertAlign w:val="baseline"/>
              </w:rPr>
              <w:t xml:space="preserve">EC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>Jo</w:t>
            </w:r>
            <w:r>
              <w:rPr>
                <w:i w:val="0"/>
                <w:sz w:val="22"/>
                <w:szCs w:val="22"/>
                <w:vertAlign w:val="baseline"/>
              </w:rPr>
              <w:t xml:space="preserve">int Research Centre in Seville and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>is also an Associate Professor on Innovation and Entrepreneurship at the University of Warsaw's School of Management. Prior to that, she held academic positions at Stanford University (2009-</w:t>
            </w:r>
            <w:r>
              <w:rPr>
                <w:i w:val="0"/>
                <w:sz w:val="22"/>
                <w:szCs w:val="22"/>
                <w:vertAlign w:val="baseline"/>
              </w:rPr>
              <w:t>20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 xml:space="preserve">15) and </w:t>
            </w:r>
            <w:r>
              <w:rPr>
                <w:i w:val="0"/>
                <w:sz w:val="22"/>
                <w:szCs w:val="22"/>
                <w:vertAlign w:val="baseline"/>
              </w:rPr>
              <w:t>at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r>
              <w:rPr>
                <w:i w:val="0"/>
                <w:sz w:val="22"/>
                <w:szCs w:val="22"/>
                <w:vertAlign w:val="baseline"/>
              </w:rPr>
              <w:t>several universities in Europe (Newcastle University, University of Groningen, SPRU-Sussex University, University of Warsaw) during 2005-2014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 xml:space="preserve">. </w:t>
            </w:r>
            <w:r>
              <w:rPr>
                <w:i w:val="0"/>
                <w:sz w:val="22"/>
                <w:szCs w:val="22"/>
                <w:vertAlign w:val="baseline"/>
              </w:rPr>
              <w:t xml:space="preserve">She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>holds a PhD and an MSc in S</w:t>
            </w:r>
            <w:r>
              <w:rPr>
                <w:i w:val="0"/>
                <w:sz w:val="22"/>
                <w:szCs w:val="22"/>
                <w:vertAlign w:val="baseline"/>
              </w:rPr>
              <w:t xml:space="preserve">&amp;T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>Policy from SPRU, Sussex University and an MSc in Chemical Engineering from the Polytechnic University of Bucharest.</w:t>
            </w:r>
            <w:r>
              <w:rPr>
                <w:i w:val="0"/>
                <w:sz w:val="22"/>
                <w:szCs w:val="22"/>
                <w:vertAlign w:val="baseline"/>
              </w:rPr>
              <w:t xml:space="preserve"> Her research focuses on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>National and regional i</w:t>
            </w:r>
            <w:r w:rsidRPr="00D54730">
              <w:rPr>
                <w:rStyle w:val="Strong"/>
                <w:i w:val="0"/>
                <w:sz w:val="22"/>
                <w:szCs w:val="22"/>
                <w:vertAlign w:val="baseline"/>
              </w:rPr>
              <w:t>nnovation systems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 xml:space="preserve">; </w:t>
            </w:r>
            <w:r>
              <w:rPr>
                <w:i w:val="0"/>
                <w:sz w:val="22"/>
                <w:szCs w:val="22"/>
                <w:vertAlign w:val="baseline"/>
              </w:rPr>
              <w:t>R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 xml:space="preserve">egional innovation </w:t>
            </w:r>
            <w:r>
              <w:rPr>
                <w:i w:val="0"/>
                <w:sz w:val="22"/>
                <w:szCs w:val="22"/>
                <w:vertAlign w:val="baseline"/>
              </w:rPr>
              <w:t xml:space="preserve">and </w:t>
            </w:r>
            <w:r w:rsidRPr="00D54730">
              <w:rPr>
                <w:i w:val="0"/>
                <w:sz w:val="22"/>
                <w:szCs w:val="22"/>
                <w:vertAlign w:val="baseline"/>
              </w:rPr>
              <w:t>Smart s</w:t>
            </w:r>
            <w:r w:rsidRPr="00827840">
              <w:rPr>
                <w:rFonts w:asciiTheme="minorHAnsi" w:hAnsiTheme="minorHAnsi"/>
                <w:i w:val="0"/>
                <w:sz w:val="22"/>
                <w:szCs w:val="22"/>
                <w:vertAlign w:val="baseline"/>
              </w:rPr>
              <w:t>peciali</w:t>
            </w:r>
            <w:r>
              <w:rPr>
                <w:rFonts w:asciiTheme="minorHAnsi" w:hAnsiTheme="minorHAnsi"/>
                <w:i w:val="0"/>
                <w:sz w:val="22"/>
                <w:szCs w:val="22"/>
                <w:vertAlign w:val="baseline"/>
              </w:rPr>
              <w:t>s</w:t>
            </w:r>
            <w:r w:rsidRPr="00827840">
              <w:rPr>
                <w:rFonts w:asciiTheme="minorHAnsi" w:hAnsiTheme="minorHAnsi"/>
                <w:i w:val="0"/>
                <w:sz w:val="22"/>
                <w:szCs w:val="22"/>
                <w:vertAlign w:val="baseline"/>
              </w:rPr>
              <w:t>ation; The Entrepreneurial University</w:t>
            </w:r>
            <w:r>
              <w:rPr>
                <w:rFonts w:asciiTheme="minorHAnsi" w:hAnsiTheme="minorHAnsi"/>
                <w:i w:val="0"/>
                <w:sz w:val="22"/>
                <w:szCs w:val="22"/>
                <w:vertAlign w:val="baseline"/>
              </w:rPr>
              <w:t xml:space="preserve"> and academic entrepreneurship</w:t>
            </w:r>
            <w:r w:rsidRPr="00827840">
              <w:rPr>
                <w:rFonts w:asciiTheme="minorHAnsi" w:hAnsiTheme="minorHAnsi"/>
                <w:i w:val="0"/>
                <w:sz w:val="22"/>
                <w:szCs w:val="22"/>
                <w:vertAlign w:val="baseline"/>
              </w:rPr>
              <w:t xml:space="preserve">; Gender in innovation, technology and entrepreneurship. In these areas, she </w:t>
            </w:r>
            <w:r w:rsidRPr="00827840">
              <w:rPr>
                <w:rFonts w:asciiTheme="minorHAnsi" w:hAnsiTheme="minorHAnsi"/>
                <w:i w:val="0"/>
                <w:color w:val="000000"/>
                <w:sz w:val="22"/>
                <w:szCs w:val="22"/>
                <w:vertAlign w:val="baseline"/>
              </w:rPr>
              <w:t>has an extensive research and publication record and has conducted consultancy</w:t>
            </w:r>
            <w:r>
              <w:rPr>
                <w:rFonts w:asciiTheme="minorHAnsi" w:hAnsiTheme="minorHAnsi"/>
                <w:i w:val="0"/>
                <w:color w:val="000000"/>
                <w:sz w:val="22"/>
                <w:szCs w:val="22"/>
                <w:vertAlign w:val="baseline"/>
              </w:rPr>
              <w:t>, evaluation</w:t>
            </w:r>
            <w:r w:rsidRPr="00827840">
              <w:rPr>
                <w:rFonts w:asciiTheme="minorHAnsi" w:hAnsiTheme="minorHAnsi"/>
                <w:i w:val="0"/>
                <w:color w:val="000000"/>
                <w:sz w:val="22"/>
                <w:szCs w:val="22"/>
                <w:vertAlign w:val="baseline"/>
              </w:rPr>
              <w:t xml:space="preserve"> and advisory work for the EC, UN, and several national and regional government innovation agencies since 2003. She </w:t>
            </w:r>
            <w:r>
              <w:rPr>
                <w:rFonts w:asciiTheme="minorHAnsi" w:hAnsiTheme="minorHAnsi"/>
                <w:i w:val="0"/>
                <w:color w:val="000000"/>
                <w:sz w:val="22"/>
                <w:szCs w:val="22"/>
                <w:vertAlign w:val="baseline"/>
              </w:rPr>
              <w:t>is</w:t>
            </w:r>
            <w:r w:rsidRPr="00827840">
              <w:rPr>
                <w:rFonts w:asciiTheme="minorHAnsi" w:hAnsiTheme="minorHAnsi"/>
                <w:i w:val="0"/>
                <w:color w:val="000000"/>
                <w:sz w:val="22"/>
                <w:szCs w:val="22"/>
                <w:vertAlign w:val="baseline"/>
              </w:rPr>
              <w:t xml:space="preserve"> a member of the International Advisory Board of the Accreditation Council for Entrepreneurial and Engaged Universities, of the Scientific Board of the University-Industry Innovation Network (UIIN) and of the </w:t>
            </w:r>
            <w:r w:rsidRPr="00827840">
              <w:rPr>
                <w:rFonts w:asciiTheme="minorHAnsi" w:eastAsia="Times New Roman" w:hAnsiTheme="minorHAnsi" w:cs="Arial"/>
                <w:i w:val="0"/>
                <w:color w:val="202124"/>
                <w:sz w:val="22"/>
                <w:szCs w:val="22"/>
                <w:vertAlign w:val="baseline"/>
              </w:rPr>
              <w:t>Strategic Advisory Board of Imperial College's Institute for Molecular Science and Engineering.</w:t>
            </w:r>
            <w:r w:rsidRPr="00827840">
              <w:rPr>
                <w:rFonts w:ascii="Arial" w:eastAsia="Times New Roman" w:hAnsi="Arial" w:cs="Arial"/>
                <w:i w:val="0"/>
                <w:color w:val="202124"/>
                <w:sz w:val="24"/>
                <w:szCs w:val="24"/>
                <w:vertAlign w:val="baseline"/>
              </w:rPr>
              <w:t xml:space="preserve"> </w:t>
            </w:r>
          </w:p>
        </w:tc>
      </w:tr>
    </w:tbl>
    <w:p w:rsidR="006233AD" w:rsidRDefault="006233AD"/>
    <w:sectPr w:rsidR="0062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233AD"/>
    <w:rsid w:val="00011554"/>
    <w:rsid w:val="006233AD"/>
    <w:rsid w:val="008217CC"/>
    <w:rsid w:val="008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AD"/>
    <w:rPr>
      <w:rFonts w:ascii="Calibri" w:eastAsia="Calibri" w:hAnsi="Calibri" w:cs="Times New Roman"/>
      <w:i/>
      <w:sz w:val="20"/>
      <w:szCs w:val="20"/>
      <w:vertAlign w:val="superscript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3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23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AD"/>
    <w:rPr>
      <w:rFonts w:ascii="Tahoma" w:eastAsia="Calibri" w:hAnsi="Tahoma" w:cs="Tahoma"/>
      <w:i/>
      <w:sz w:val="16"/>
      <w:szCs w:val="16"/>
      <w:vertAlign w:val="superscript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AD"/>
    <w:rPr>
      <w:rFonts w:ascii="Calibri" w:eastAsia="Calibri" w:hAnsi="Calibri" w:cs="Times New Roman"/>
      <w:i/>
      <w:sz w:val="20"/>
      <w:szCs w:val="20"/>
      <w:vertAlign w:val="superscript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3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23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AD"/>
    <w:rPr>
      <w:rFonts w:ascii="Tahoma" w:eastAsia="Calibri" w:hAnsi="Tahoma" w:cs="Tahoma"/>
      <w:i/>
      <w:sz w:val="16"/>
      <w:szCs w:val="16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European Commission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RESENDE CHAVEZ Gabriel (JRC-SEVILLA-EXT)</dc:creator>
  <cp:lastModifiedBy>RESENDE CHAVEZ Gabriel (JRC-SEVILLA-EXT)</cp:lastModifiedBy>
  <cp:revision>2</cp:revision>
  <dcterms:created xsi:type="dcterms:W3CDTF">2019-07-26T09:53:00Z</dcterms:created>
  <dcterms:modified xsi:type="dcterms:W3CDTF">2019-07-26T09:55:00Z</dcterms:modified>
</cp:coreProperties>
</file>