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F3" w:rsidRDefault="00D53AF3" w:rsidP="00D53AF3">
      <w:pPr>
        <w:spacing w:after="0" w:line="240" w:lineRule="auto"/>
        <w:rPr>
          <w:rFonts w:asciiTheme="minorHAnsi" w:hAnsiTheme="minorHAnsi"/>
          <w:b/>
          <w:i w:val="0"/>
          <w:sz w:val="24"/>
          <w:szCs w:val="24"/>
          <w:u w:val="single"/>
          <w:vertAlign w:val="baseline"/>
        </w:rPr>
      </w:pPr>
      <w:r w:rsidRPr="00802219">
        <w:rPr>
          <w:rFonts w:asciiTheme="minorHAnsi" w:hAnsiTheme="minorHAnsi"/>
          <w:b/>
          <w:i w:val="0"/>
          <w:sz w:val="24"/>
          <w:szCs w:val="24"/>
          <w:u w:val="single"/>
          <w:vertAlign w:val="baseline"/>
        </w:rPr>
        <w:t>JRC</w:t>
      </w:r>
    </w:p>
    <w:p w:rsidR="00D53AF3" w:rsidRDefault="00D53AF3">
      <w:pPr>
        <w:rPr>
          <w:rFonts w:cs="Arial"/>
          <w:b/>
          <w:noProof/>
        </w:rPr>
      </w:pPr>
    </w:p>
    <w:p w:rsidR="00D53AF3" w:rsidRDefault="00D53AF3">
      <w:pPr>
        <w:rPr>
          <w:b/>
          <w:i w:val="0"/>
          <w:noProof/>
          <w:sz w:val="22"/>
          <w:szCs w:val="22"/>
          <w:vertAlign w:val="baseline"/>
        </w:rPr>
      </w:pPr>
      <w:bookmarkStart w:id="0" w:name="_GoBack"/>
      <w:r w:rsidRPr="00EA5FDE">
        <w:rPr>
          <w:rFonts w:asciiTheme="minorHAnsi" w:hAnsiTheme="minorHAnsi" w:cs="Arial"/>
          <w:b/>
          <w:i w:val="0"/>
          <w:noProof/>
          <w:sz w:val="22"/>
          <w:szCs w:val="22"/>
          <w:vertAlign w:val="baseline"/>
        </w:rPr>
        <w:t xml:space="preserve">Dr. </w:t>
      </w:r>
      <w:r w:rsidRPr="00EA5FDE">
        <w:rPr>
          <w:b/>
          <w:i w:val="0"/>
          <w:noProof/>
          <w:sz w:val="22"/>
          <w:szCs w:val="22"/>
          <w:vertAlign w:val="baseline"/>
        </w:rPr>
        <w:t>Mafini</w:t>
      </w:r>
      <w:r w:rsidRPr="00EA5FDE">
        <w:rPr>
          <w:b/>
          <w:i w:val="0"/>
          <w:sz w:val="22"/>
          <w:szCs w:val="22"/>
          <w:vertAlign w:val="baseline"/>
        </w:rPr>
        <w:t xml:space="preserve"> </w:t>
      </w:r>
      <w:r w:rsidRPr="00EA5FDE">
        <w:rPr>
          <w:b/>
          <w:i w:val="0"/>
          <w:noProof/>
          <w:sz w:val="22"/>
          <w:szCs w:val="22"/>
          <w:vertAlign w:val="baseline"/>
        </w:rPr>
        <w:t>DOSSO</w:t>
      </w:r>
      <w:r w:rsidRPr="00D53AF3">
        <w:rPr>
          <w:b/>
          <w:i w:val="0"/>
          <w:noProof/>
          <w:sz w:val="22"/>
          <w:szCs w:val="22"/>
          <w:vertAlign w:val="baseline"/>
        </w:rPr>
        <w:t xml:space="preserve"> profile</w:t>
      </w:r>
    </w:p>
    <w:bookmarkEnd w:id="0"/>
    <w:p w:rsidR="00D53AF3" w:rsidRDefault="00D53AF3">
      <w:pPr>
        <w:rPr>
          <w:b/>
          <w:i w:val="0"/>
          <w:noProof/>
          <w:sz w:val="22"/>
          <w:szCs w:val="22"/>
          <w:vertAlign w:val="baselin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16"/>
        <w:gridCol w:w="7073"/>
      </w:tblGrid>
      <w:tr w:rsidR="00D53AF3" w:rsidRPr="00EA5FDE" w:rsidTr="00421E0D">
        <w:trPr>
          <w:trHeight w:val="554"/>
        </w:trPr>
        <w:tc>
          <w:tcPr>
            <w:tcW w:w="2816" w:type="dxa"/>
            <w:vMerge w:val="restart"/>
          </w:tcPr>
          <w:p w:rsidR="00D53AF3" w:rsidRPr="00EA5FDE" w:rsidRDefault="00D53AF3" w:rsidP="00421E0D">
            <w:pPr>
              <w:jc w:val="center"/>
              <w:rPr>
                <w:rFonts w:asciiTheme="minorHAnsi" w:hAnsiTheme="minorHAnsi" w:cs="Arial"/>
                <w:b/>
                <w:i w:val="0"/>
                <w:noProof/>
                <w:sz w:val="22"/>
                <w:szCs w:val="22"/>
                <w:vertAlign w:val="baseline"/>
              </w:rPr>
            </w:pPr>
            <w:r w:rsidRPr="00EA5FDE">
              <w:rPr>
                <w:rFonts w:asciiTheme="minorHAnsi" w:hAnsiTheme="minorHAnsi" w:cs="Arial"/>
                <w:b/>
                <w:i w:val="0"/>
                <w:noProof/>
                <w:sz w:val="22"/>
                <w:szCs w:val="22"/>
                <w:vertAlign w:val="baseline"/>
              </w:rPr>
              <w:drawing>
                <wp:inline distT="0" distB="0" distL="0" distR="0" wp14:anchorId="544CB021" wp14:editId="1D0DC785">
                  <wp:extent cx="1352550" cy="1781175"/>
                  <wp:effectExtent l="0" t="0" r="0" b="9525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84" cy="178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AF3" w:rsidRPr="00EA5FDE" w:rsidRDefault="00D53AF3" w:rsidP="00421E0D">
            <w:pPr>
              <w:jc w:val="center"/>
              <w:rPr>
                <w:b/>
                <w:i w:val="0"/>
                <w:sz w:val="22"/>
                <w:szCs w:val="22"/>
                <w:vertAlign w:val="baseline"/>
              </w:rPr>
            </w:pPr>
            <w:r w:rsidRPr="00EA5FDE">
              <w:rPr>
                <w:rFonts w:asciiTheme="minorHAnsi" w:hAnsiTheme="minorHAnsi" w:cs="Arial"/>
                <w:b/>
                <w:i w:val="0"/>
                <w:noProof/>
                <w:sz w:val="22"/>
                <w:szCs w:val="22"/>
                <w:vertAlign w:val="baseline"/>
              </w:rPr>
              <w:t xml:space="preserve">Dr. </w:t>
            </w:r>
            <w:r w:rsidRPr="00EA5FDE">
              <w:rPr>
                <w:b/>
                <w:i w:val="0"/>
                <w:noProof/>
                <w:sz w:val="22"/>
                <w:szCs w:val="22"/>
                <w:vertAlign w:val="baseline"/>
              </w:rPr>
              <w:t>Mafini</w:t>
            </w:r>
            <w:r w:rsidRPr="00EA5FDE">
              <w:rPr>
                <w:b/>
                <w:i w:val="0"/>
                <w:sz w:val="22"/>
                <w:szCs w:val="22"/>
                <w:vertAlign w:val="baseline"/>
              </w:rPr>
              <w:t xml:space="preserve"> DOSSO</w:t>
            </w:r>
          </w:p>
        </w:tc>
        <w:tc>
          <w:tcPr>
            <w:tcW w:w="7073" w:type="dxa"/>
          </w:tcPr>
          <w:p w:rsidR="00D53AF3" w:rsidRPr="00EA5FDE" w:rsidRDefault="00D53AF3" w:rsidP="00421E0D">
            <w:pPr>
              <w:tabs>
                <w:tab w:val="left" w:pos="1701"/>
              </w:tabs>
              <w:rPr>
                <w:b/>
                <w:i w:val="0"/>
                <w:sz w:val="22"/>
                <w:szCs w:val="22"/>
                <w:vertAlign w:val="baseline"/>
              </w:rPr>
            </w:pPr>
            <w:r w:rsidRPr="00EA5FDE">
              <w:rPr>
                <w:rFonts w:asciiTheme="minorHAnsi" w:hAnsiTheme="minorHAnsi" w:cs="Arial"/>
                <w:b/>
                <w:i w:val="0"/>
                <w:sz w:val="22"/>
                <w:szCs w:val="22"/>
                <w:vertAlign w:val="baseline"/>
              </w:rPr>
              <w:t xml:space="preserve">Title: </w:t>
            </w:r>
            <w:r w:rsidRPr="00EA5FDE">
              <w:rPr>
                <w:b/>
                <w:i w:val="0"/>
                <w:sz w:val="22"/>
                <w:szCs w:val="22"/>
                <w:vertAlign w:val="baseline"/>
              </w:rPr>
              <w:t xml:space="preserve">Corporate innovation value chains in the </w:t>
            </w:r>
            <w:r>
              <w:rPr>
                <w:b/>
                <w:i w:val="0"/>
                <w:sz w:val="22"/>
                <w:szCs w:val="22"/>
                <w:vertAlign w:val="baseline"/>
              </w:rPr>
              <w:t>4</w:t>
            </w:r>
            <w:r w:rsidRPr="0063687A">
              <w:rPr>
                <w:b/>
                <w:i w:val="0"/>
                <w:sz w:val="22"/>
                <w:szCs w:val="22"/>
              </w:rPr>
              <w:t>th</w:t>
            </w:r>
            <w:r>
              <w:rPr>
                <w:b/>
                <w:i w:val="0"/>
                <w:sz w:val="22"/>
                <w:szCs w:val="22"/>
                <w:vertAlign w:val="baseline"/>
              </w:rPr>
              <w:t xml:space="preserve"> </w:t>
            </w:r>
            <w:r w:rsidRPr="00EA5FDE">
              <w:rPr>
                <w:b/>
                <w:i w:val="0"/>
                <w:sz w:val="22"/>
                <w:szCs w:val="22"/>
                <w:vertAlign w:val="baseline"/>
              </w:rPr>
              <w:t>industrial era: issues for research on firms</w:t>
            </w:r>
          </w:p>
        </w:tc>
      </w:tr>
      <w:tr w:rsidR="00D53AF3" w:rsidRPr="00EA5FDE" w:rsidTr="00421E0D">
        <w:trPr>
          <w:trHeight w:val="2459"/>
        </w:trPr>
        <w:tc>
          <w:tcPr>
            <w:tcW w:w="2816" w:type="dxa"/>
            <w:vMerge/>
          </w:tcPr>
          <w:p w:rsidR="00D53AF3" w:rsidRPr="00EA5FDE" w:rsidRDefault="00D53AF3" w:rsidP="00421E0D">
            <w:pPr>
              <w:rPr>
                <w:rFonts w:asciiTheme="minorHAnsi" w:hAnsiTheme="minorHAnsi" w:cs="Arial"/>
                <w:i w:val="0"/>
                <w:noProof/>
                <w:sz w:val="22"/>
                <w:szCs w:val="22"/>
                <w:vertAlign w:val="baseline"/>
              </w:rPr>
            </w:pPr>
          </w:p>
        </w:tc>
        <w:tc>
          <w:tcPr>
            <w:tcW w:w="7073" w:type="dxa"/>
          </w:tcPr>
          <w:p w:rsidR="00D53AF3" w:rsidRPr="00EA5FDE" w:rsidRDefault="00D53AF3" w:rsidP="00421E0D">
            <w:pPr>
              <w:jc w:val="both"/>
              <w:rPr>
                <w:i w:val="0"/>
                <w:sz w:val="22"/>
                <w:szCs w:val="22"/>
                <w:highlight w:val="lightGray"/>
                <w:vertAlign w:val="baseline"/>
                <w:lang w:val="en-US"/>
              </w:rPr>
            </w:pPr>
            <w:r w:rsidRPr="00EA5FDE">
              <w:rPr>
                <w:rFonts w:asciiTheme="minorHAnsi" w:hAnsiTheme="minorHAnsi" w:cs="Arial"/>
                <w:b/>
                <w:i w:val="0"/>
                <w:sz w:val="22"/>
                <w:szCs w:val="22"/>
                <w:vertAlign w:val="baseline"/>
              </w:rPr>
              <w:t xml:space="preserve">Outline: </w:t>
            </w:r>
            <w:proofErr w:type="spellStart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Dr</w:t>
            </w:r>
            <w:proofErr w:type="spellEnd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Dosso</w:t>
            </w:r>
            <w:proofErr w:type="spellEnd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will present the </w:t>
            </w:r>
            <w:proofErr w:type="spellStart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GLObal</w:t>
            </w:r>
            <w:proofErr w:type="spellEnd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Research and Innovation Analyses (GLORIA) project</w:t>
            </w:r>
            <w:r>
              <w:rPr>
                <w:i w:val="0"/>
                <w:sz w:val="22"/>
                <w:szCs w:val="22"/>
                <w:vertAlign w:val="baseline"/>
                <w:lang w:val="en-US"/>
              </w:rPr>
              <w:t>, which</w:t>
            </w:r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provides annual R&amp;D rankings (EU Scoreboards and EU Surveys) and evidence on the technological and innovation dynamics of the world’s leading R&amp;D investors. She will examine current and future trends in Industry 4.0 technologies from the perspectives of R&amp;D-intensive companies. Focusing on the recent works, </w:t>
            </w:r>
            <w:proofErr w:type="spellStart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Mafini</w:t>
            </w:r>
            <w:proofErr w:type="spellEnd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will further talk about the insights from the latest GLORIA workshop on “Global corporate value chains and innovation networks in the fourth industrial era: new models of production and work organization” </w:t>
            </w:r>
          </w:p>
        </w:tc>
      </w:tr>
      <w:tr w:rsidR="00D53AF3" w:rsidRPr="00EA5FDE" w:rsidTr="00421E0D">
        <w:trPr>
          <w:trHeight w:val="274"/>
        </w:trPr>
        <w:tc>
          <w:tcPr>
            <w:tcW w:w="9889" w:type="dxa"/>
            <w:gridSpan w:val="2"/>
          </w:tcPr>
          <w:p w:rsidR="00D53AF3" w:rsidRPr="00EA5FDE" w:rsidRDefault="00D53AF3" w:rsidP="00421E0D">
            <w:pPr>
              <w:jc w:val="both"/>
              <w:rPr>
                <w:i w:val="0"/>
                <w:sz w:val="22"/>
                <w:szCs w:val="22"/>
                <w:vertAlign w:val="baseline"/>
                <w:lang w:val="en-US"/>
              </w:rPr>
            </w:pPr>
            <w:r w:rsidRPr="00EA5FDE">
              <w:rPr>
                <w:rFonts w:asciiTheme="minorHAnsi" w:hAnsiTheme="minorHAnsi" w:cs="Arial"/>
                <w:b/>
                <w:i w:val="0"/>
                <w:sz w:val="22"/>
                <w:szCs w:val="22"/>
                <w:vertAlign w:val="baseline"/>
              </w:rPr>
              <w:t xml:space="preserve">Biography: </w:t>
            </w:r>
            <w:proofErr w:type="spellStart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Mafini</w:t>
            </w:r>
            <w:proofErr w:type="spellEnd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is an Economist &amp; Policy analyst </w:t>
            </w:r>
            <w:r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in </w:t>
            </w:r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the JRC Unit B3 Territorial development. She contribut</w:t>
            </w:r>
            <w:r>
              <w:rPr>
                <w:i w:val="0"/>
                <w:sz w:val="22"/>
                <w:szCs w:val="22"/>
                <w:vertAlign w:val="baseline"/>
                <w:lang w:val="en-US"/>
              </w:rPr>
              <w:t>es</w:t>
            </w:r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to the </w:t>
            </w:r>
            <w:proofErr w:type="spellStart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GLObal</w:t>
            </w:r>
            <w:proofErr w:type="spellEnd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Research and Innovation Analyses project (GLORIA) and the Smart </w:t>
            </w:r>
            <w:proofErr w:type="spellStart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Specialisation</w:t>
            </w:r>
            <w:proofErr w:type="spellEnd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platform (section </w:t>
            </w:r>
            <w:r>
              <w:rPr>
                <w:i w:val="0"/>
                <w:sz w:val="22"/>
                <w:szCs w:val="22"/>
                <w:vertAlign w:val="baseline"/>
                <w:lang w:val="en-US"/>
              </w:rPr>
              <w:t>W</w:t>
            </w:r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orldwide and links to the Sustainable Development Goals of Agenda 2030). The GLORIA project provides annual monitoring and analyses of the world’s leading firms in R&amp;D and industrial innovation to inform the EU industrial and innovation policy agenda. </w:t>
            </w:r>
            <w:proofErr w:type="spellStart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Mafini</w:t>
            </w:r>
            <w:proofErr w:type="spellEnd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co-authored several international and European technical reports</w:t>
            </w:r>
            <w:r>
              <w:rPr>
                <w:i w:val="0"/>
                <w:sz w:val="22"/>
                <w:szCs w:val="22"/>
                <w:vertAlign w:val="baseline"/>
                <w:lang w:val="en-US"/>
              </w:rPr>
              <w:t>,</w:t>
            </w:r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scientific articles and policy briefs on these different topics. </w:t>
            </w:r>
            <w:r>
              <w:rPr>
                <w:i w:val="0"/>
                <w:sz w:val="22"/>
                <w:szCs w:val="22"/>
                <w:vertAlign w:val="baseline"/>
                <w:lang w:val="en-US"/>
              </w:rPr>
              <w:t>H</w:t>
            </w:r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er recent works focused on qualitative analysis of global innovation networks and innovation value chains based on interviews to R&amp;D and innovation managers and industry experts. She also investigat</w:t>
            </w:r>
            <w:r>
              <w:rPr>
                <w:i w:val="0"/>
                <w:sz w:val="22"/>
                <w:szCs w:val="22"/>
                <w:vertAlign w:val="baseline"/>
                <w:lang w:val="en-US"/>
              </w:rPr>
              <w:t>es</w:t>
            </w:r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the readiness of the EU policies for Industry 4.0 from an industrial innovation perspective. Her latest article on this topic “Technological readiness in Europe: EU policy perspectives on Industry 4.0” (forthcoming chapter 2019 in </w:t>
            </w:r>
            <w:r w:rsidRPr="00EA5FDE">
              <w:rPr>
                <w:sz w:val="22"/>
                <w:szCs w:val="22"/>
                <w:vertAlign w:val="baseline"/>
                <w:lang w:val="en-US"/>
              </w:rPr>
              <w:t>Industry 4.0 and Regional Transformation</w:t>
            </w:r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 – EU MAKERS project) discusses the rationales of Industry 4.0-oriented policies as presented in the EU official documents</w:t>
            </w:r>
            <w:r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. She </w:t>
            </w:r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 xml:space="preserve">holds a PhD in Economics of Innovation and a Master II in Economics of Industry &amp; Services from the University </w:t>
            </w:r>
            <w:proofErr w:type="spellStart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Panthéon</w:t>
            </w:r>
            <w:proofErr w:type="spellEnd"/>
            <w:r w:rsidRPr="00EA5FDE">
              <w:rPr>
                <w:i w:val="0"/>
                <w:sz w:val="22"/>
                <w:szCs w:val="22"/>
                <w:vertAlign w:val="baseline"/>
                <w:lang w:val="en-US"/>
              </w:rPr>
              <w:t>-Sorbonne, Paris I (France).</w:t>
            </w:r>
          </w:p>
        </w:tc>
      </w:tr>
    </w:tbl>
    <w:p w:rsidR="00D53AF3" w:rsidRPr="00D53AF3" w:rsidRDefault="00D53AF3">
      <w:pPr>
        <w:rPr>
          <w:b/>
          <w:i w:val="0"/>
          <w:noProof/>
          <w:sz w:val="22"/>
          <w:szCs w:val="22"/>
          <w:vertAlign w:val="baseline"/>
          <w:lang w:val="en-US"/>
        </w:rPr>
      </w:pPr>
    </w:p>
    <w:sectPr w:rsidR="00D53AF3" w:rsidRPr="00D53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53AF3"/>
    <w:rsid w:val="00011554"/>
    <w:rsid w:val="00847E65"/>
    <w:rsid w:val="00D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F3"/>
    <w:rPr>
      <w:rFonts w:ascii="Calibri" w:eastAsia="Calibri" w:hAnsi="Calibri" w:cs="Times New Roman"/>
      <w:i/>
      <w:sz w:val="20"/>
      <w:szCs w:val="20"/>
      <w:vertAlign w:val="superscript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F3"/>
    <w:rPr>
      <w:rFonts w:ascii="Tahoma" w:eastAsia="Calibri" w:hAnsi="Tahoma" w:cs="Tahoma"/>
      <w:i/>
      <w:sz w:val="16"/>
      <w:szCs w:val="16"/>
      <w:vertAlign w:val="superscript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F3"/>
    <w:rPr>
      <w:rFonts w:ascii="Calibri" w:eastAsia="Calibri" w:hAnsi="Calibri" w:cs="Times New Roman"/>
      <w:i/>
      <w:sz w:val="20"/>
      <w:szCs w:val="20"/>
      <w:vertAlign w:val="superscript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F3"/>
    <w:rPr>
      <w:rFonts w:ascii="Tahoma" w:eastAsia="Calibri" w:hAnsi="Tahoma" w:cs="Tahoma"/>
      <w:i/>
      <w:sz w:val="16"/>
      <w:szCs w:val="16"/>
      <w:vertAlign w:val="super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European Commission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RESENDE CHAVEZ Gabriel (JRC-SEVILLA-EXT)</dc:creator>
  <cp:lastModifiedBy>RESENDE CHAVEZ Gabriel (JRC-SEVILLA-EXT)</cp:lastModifiedBy>
  <cp:revision>1</cp:revision>
  <dcterms:created xsi:type="dcterms:W3CDTF">2019-07-26T09:59:00Z</dcterms:created>
  <dcterms:modified xsi:type="dcterms:W3CDTF">2019-07-26T10:00:00Z</dcterms:modified>
</cp:coreProperties>
</file>