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2D" w:rsidRDefault="00DA4C4C">
      <w:pPr>
        <w:pStyle w:val="ListParagraph"/>
        <w:numPr>
          <w:ilvl w:val="0"/>
          <w:numId w:val="3"/>
        </w:numPr>
        <w:pBdr>
          <w:bottom w:val="single" w:sz="4" w:space="1" w:color="00000A"/>
        </w:pBdr>
        <w:spacing w:before="240"/>
        <w:ind w:left="425" w:hanging="357"/>
        <w:jc w:val="both"/>
        <w:rPr>
          <w:b/>
          <w:lang w:val="en-US"/>
        </w:rPr>
      </w:pPr>
      <w:bookmarkStart w:id="0" w:name="_GoBack"/>
      <w:bookmarkEnd w:id="0"/>
      <w:r>
        <w:rPr>
          <w:b/>
          <w:lang w:val="en-US"/>
        </w:rPr>
        <w:t>INTRODUCTION</w:t>
      </w:r>
    </w:p>
    <w:p w:rsidR="0044392D" w:rsidRDefault="00DA4C4C">
      <w:pPr>
        <w:jc w:val="both"/>
        <w:rPr>
          <w:lang w:val="en-US"/>
        </w:rPr>
      </w:pPr>
      <w:r>
        <w:rPr>
          <w:b/>
          <w:lang w:val="en-US"/>
        </w:rPr>
        <w:t>High Technology Farming</w:t>
      </w:r>
      <w:r>
        <w:rPr>
          <w:lang w:val="en-US"/>
        </w:rPr>
        <w:t xml:space="preserve"> is a broad concept which refers to a </w:t>
      </w:r>
      <w:r>
        <w:rPr>
          <w:u w:val="single"/>
          <w:lang w:val="en-US"/>
        </w:rPr>
        <w:t>wide range of new tools</w:t>
      </w:r>
      <w:r>
        <w:rPr>
          <w:lang w:val="en-US"/>
        </w:rPr>
        <w:t xml:space="preserve"> (Robotics, ICT, Big Data, Earth Observation, etc.). The synergic use of these instruments allows the shifting to </w:t>
      </w:r>
      <w:r>
        <w:rPr>
          <w:b/>
          <w:lang w:val="en-US"/>
        </w:rPr>
        <w:t>the new paradigm of Sustainable Precision Agriculture</w:t>
      </w:r>
      <w:r>
        <w:rPr>
          <w:lang w:val="en-US"/>
        </w:rPr>
        <w:t xml:space="preserve"> (SPF).</w:t>
      </w:r>
    </w:p>
    <w:p w:rsidR="0044392D" w:rsidRDefault="00DA4C4C">
      <w:pPr>
        <w:spacing w:after="0"/>
        <w:jc w:val="both"/>
        <w:rPr>
          <w:lang w:val="en-US"/>
        </w:rPr>
      </w:pPr>
      <w:r>
        <w:rPr>
          <w:lang w:val="en-US"/>
        </w:rPr>
        <w:t>The need for a shifting towards this new paradigm is well acknowledged at EU level and some papers from EU Institutions already provide good analysis and suggestions:</w:t>
      </w:r>
    </w:p>
    <w:p w:rsidR="0044392D" w:rsidRDefault="00DA4C4C">
      <w:pPr>
        <w:pStyle w:val="ListParagraph"/>
        <w:numPr>
          <w:ilvl w:val="0"/>
          <w:numId w:val="2"/>
        </w:numPr>
        <w:jc w:val="both"/>
        <w:rPr>
          <w:lang w:val="en-US"/>
        </w:rPr>
      </w:pPr>
      <w:r>
        <w:rPr>
          <w:lang w:val="en-US"/>
        </w:rPr>
        <w:t>The study “Precision Agriculture and the Future of Farming in Europe”</w:t>
      </w:r>
      <w:r>
        <w:rPr>
          <w:rStyle w:val="Richiamoallanotaapidipagina"/>
          <w:lang w:val="en-US"/>
        </w:rPr>
        <w:footnoteReference w:id="1"/>
      </w:r>
      <w:r>
        <w:rPr>
          <w:lang w:val="en-US"/>
        </w:rPr>
        <w:t>, published by the European Parliament Research Service in September 2016;</w:t>
      </w:r>
    </w:p>
    <w:p w:rsidR="0044392D" w:rsidRDefault="00DA4C4C">
      <w:pPr>
        <w:pStyle w:val="ListParagraph"/>
        <w:numPr>
          <w:ilvl w:val="0"/>
          <w:numId w:val="2"/>
        </w:numPr>
        <w:jc w:val="both"/>
        <w:rPr>
          <w:lang w:val="en-US"/>
        </w:rPr>
      </w:pPr>
      <w:r>
        <w:rPr>
          <w:lang w:val="en-US"/>
        </w:rPr>
        <w:t>The outcomes of the EIP AGRI Focus Group on Precision Farming</w:t>
      </w:r>
      <w:r>
        <w:rPr>
          <w:rStyle w:val="Richiamoallanotaapidipagina"/>
          <w:lang w:val="en-US"/>
        </w:rPr>
        <w:footnoteReference w:id="2"/>
      </w:r>
      <w:r>
        <w:rPr>
          <w:lang w:val="en-US"/>
        </w:rPr>
        <w:t>, published by the EIP AGRI Service Point in November 2015.</w:t>
      </w:r>
    </w:p>
    <w:p w:rsidR="0044392D" w:rsidRDefault="00DA4C4C">
      <w:pPr>
        <w:jc w:val="both"/>
        <w:rPr>
          <w:b/>
          <w:lang w:val="en-US"/>
        </w:rPr>
      </w:pPr>
      <w:r>
        <w:rPr>
          <w:lang w:val="en-US"/>
        </w:rPr>
        <w:t>Tuscany Region has promoted a specific focus on High Tech Farming under the European S3 AGROFOOD Platform</w:t>
      </w:r>
      <w:r>
        <w:rPr>
          <w:rStyle w:val="Richiamoallanotaapidipagina"/>
          <w:lang w:val="en-US"/>
        </w:rPr>
        <w:footnoteReference w:id="3"/>
      </w:r>
      <w:r>
        <w:rPr>
          <w:lang w:val="en-US"/>
        </w:rPr>
        <w:t xml:space="preserve">, as it believes that shifting towards </w:t>
      </w:r>
      <w:r>
        <w:rPr>
          <w:b/>
          <w:lang w:val="en-US"/>
        </w:rPr>
        <w:t>Precision Farming is of utmost importance for our agricultural system. This technological shift can be compared with the one from animal drawbars to farm machineries and, later on, the green revolution.</w:t>
      </w:r>
    </w:p>
    <w:p w:rsidR="0044392D" w:rsidRDefault="00DA4C4C">
      <w:pPr>
        <w:jc w:val="both"/>
        <w:rPr>
          <w:lang w:val="en-US"/>
        </w:rPr>
      </w:pPr>
      <w:r>
        <w:rPr>
          <w:lang w:val="en-US"/>
        </w:rPr>
        <w:t>SPF should help rationalizing the use of resources, in order to achieve more efficient processes, which are sustainable and traceable in terms of inputs and operations.</w:t>
      </w:r>
    </w:p>
    <w:p w:rsidR="0044392D" w:rsidRDefault="00DA4C4C">
      <w:pPr>
        <w:jc w:val="both"/>
        <w:rPr>
          <w:lang w:val="en-US"/>
        </w:rPr>
      </w:pPr>
      <w:r>
        <w:rPr>
          <w:lang w:val="en-US"/>
        </w:rPr>
        <w:t>SPF is based on techniques and technologies that complement the complexity of microclimatic, soil, biological and managerial factors. This is referred to as "</w:t>
      </w:r>
      <w:r>
        <w:rPr>
          <w:b/>
          <w:lang w:val="en-US"/>
        </w:rPr>
        <w:t>spatial intelligence</w:t>
      </w:r>
      <w:r>
        <w:rPr>
          <w:lang w:val="en-US"/>
        </w:rPr>
        <w:t>", which allows inputs and treatments to take place only where, when and how much they are needed.</w:t>
      </w:r>
    </w:p>
    <w:p w:rsidR="0044392D" w:rsidRDefault="00DA4C4C">
      <w:pPr>
        <w:pStyle w:val="ListParagraph"/>
        <w:numPr>
          <w:ilvl w:val="0"/>
          <w:numId w:val="3"/>
        </w:numPr>
        <w:pBdr>
          <w:bottom w:val="single" w:sz="4" w:space="1" w:color="00000A"/>
        </w:pBdr>
        <w:spacing w:before="240"/>
        <w:ind w:left="425" w:hanging="357"/>
        <w:jc w:val="both"/>
        <w:rPr>
          <w:b/>
          <w:lang w:val="en-US"/>
        </w:rPr>
      </w:pPr>
      <w:r>
        <w:rPr>
          <w:b/>
          <w:lang w:val="en-US"/>
        </w:rPr>
        <w:t>METHODOLOGIC APPROACH</w:t>
      </w:r>
    </w:p>
    <w:p w:rsidR="0044392D" w:rsidRDefault="00DA4C4C">
      <w:pPr>
        <w:jc w:val="both"/>
        <w:rPr>
          <w:b/>
          <w:lang w:val="en-US"/>
        </w:rPr>
      </w:pPr>
      <w:r>
        <w:rPr>
          <w:b/>
          <w:lang w:val="en-US"/>
        </w:rPr>
        <w:t>Sustainable Precision Farming means Spatial Intelligence and Precise Management. High Technology Farming represents the tools making it possible.</w:t>
      </w:r>
    </w:p>
    <w:p w:rsidR="0044392D" w:rsidRDefault="00DA4C4C">
      <w:pPr>
        <w:jc w:val="both"/>
        <w:rPr>
          <w:lang w:val="en-US"/>
        </w:rPr>
      </w:pPr>
      <w:r>
        <w:rPr>
          <w:lang w:val="en-US"/>
        </w:rPr>
        <w:t>High technologies serve the objectives of monitoring, measuring and assessing, being precise, verifying and characterizing the quality of a process. So we can divide those technologies in:</w:t>
      </w:r>
    </w:p>
    <w:tbl>
      <w:tblPr>
        <w:tblStyle w:val="TableGrid"/>
        <w:tblW w:w="9520" w:type="dxa"/>
        <w:tblInd w:w="98" w:type="dxa"/>
        <w:tblCellMar>
          <w:left w:w="98" w:type="dxa"/>
        </w:tblCellMar>
        <w:tblLook w:val="04A0" w:firstRow="1" w:lastRow="0" w:firstColumn="1" w:lastColumn="0" w:noHBand="0" w:noVBand="1"/>
      </w:tblPr>
      <w:tblGrid>
        <w:gridCol w:w="1243"/>
        <w:gridCol w:w="8277"/>
      </w:tblGrid>
      <w:tr w:rsidR="0044392D" w:rsidRPr="001915A3">
        <w:tc>
          <w:tcPr>
            <w:tcW w:w="1243" w:type="dxa"/>
            <w:shd w:val="clear" w:color="auto" w:fill="auto"/>
            <w:tcMar>
              <w:left w:w="98" w:type="dxa"/>
            </w:tcMar>
          </w:tcPr>
          <w:p w:rsidR="0044392D" w:rsidRDefault="00DA4C4C">
            <w:pPr>
              <w:spacing w:after="0" w:line="240" w:lineRule="auto"/>
              <w:jc w:val="both"/>
              <w:rPr>
                <w:lang w:val="en-US"/>
              </w:rPr>
            </w:pPr>
            <w:r>
              <w:rPr>
                <w:lang w:val="en-US"/>
              </w:rPr>
              <w:t>Technology oriented</w:t>
            </w:r>
          </w:p>
        </w:tc>
        <w:tc>
          <w:tcPr>
            <w:tcW w:w="8276" w:type="dxa"/>
            <w:shd w:val="clear" w:color="auto" w:fill="auto"/>
            <w:tcMar>
              <w:left w:w="98" w:type="dxa"/>
            </w:tcMar>
          </w:tcPr>
          <w:p w:rsidR="0044392D" w:rsidRDefault="00DA4C4C">
            <w:pPr>
              <w:pStyle w:val="ListParagraph"/>
              <w:numPr>
                <w:ilvl w:val="0"/>
                <w:numId w:val="1"/>
              </w:numPr>
              <w:spacing w:after="0" w:line="240" w:lineRule="auto"/>
              <w:ind w:left="350" w:hanging="284"/>
              <w:jc w:val="both"/>
              <w:rPr>
                <w:lang w:val="en-US"/>
              </w:rPr>
            </w:pPr>
            <w:r>
              <w:rPr>
                <w:b/>
                <w:lang w:val="en-US"/>
              </w:rPr>
              <w:t>EYES</w:t>
            </w:r>
            <w:r>
              <w:rPr>
                <w:lang w:val="en-US"/>
              </w:rPr>
              <w:t xml:space="preserve"> &amp; </w:t>
            </w:r>
            <w:r>
              <w:rPr>
                <w:b/>
                <w:lang w:val="en-US"/>
              </w:rPr>
              <w:t>TOUCH</w:t>
            </w:r>
            <w:r>
              <w:rPr>
                <w:lang w:val="en-US"/>
              </w:rPr>
              <w:t xml:space="preserve"> to monitor the single element on wide area (sensors and digital layer) and recognise the effects in each element treated (on board, proximal and remote sensors)</w:t>
            </w:r>
          </w:p>
          <w:p w:rsidR="0044392D" w:rsidRDefault="00DA4C4C">
            <w:pPr>
              <w:pStyle w:val="ListParagraph"/>
              <w:numPr>
                <w:ilvl w:val="0"/>
                <w:numId w:val="1"/>
              </w:numPr>
              <w:spacing w:after="0" w:line="240" w:lineRule="auto"/>
              <w:ind w:left="350" w:hanging="284"/>
              <w:jc w:val="both"/>
              <w:rPr>
                <w:lang w:val="en-US"/>
              </w:rPr>
            </w:pPr>
            <w:r>
              <w:rPr>
                <w:b/>
                <w:lang w:val="en-US"/>
              </w:rPr>
              <w:t>MIND</w:t>
            </w:r>
            <w:r>
              <w:rPr>
                <w:lang w:val="en-US"/>
              </w:rPr>
              <w:t xml:space="preserve"> to be aware of what, where and when to act in each single productive step (Data, Modeling and Decision Support Systems)</w:t>
            </w:r>
          </w:p>
          <w:p w:rsidR="0044392D" w:rsidRDefault="00DA4C4C">
            <w:pPr>
              <w:pStyle w:val="ListParagraph"/>
              <w:numPr>
                <w:ilvl w:val="0"/>
                <w:numId w:val="1"/>
              </w:numPr>
              <w:spacing w:after="0" w:line="240" w:lineRule="auto"/>
              <w:ind w:left="350" w:hanging="284"/>
              <w:jc w:val="both"/>
              <w:rPr>
                <w:lang w:val="en-US"/>
              </w:rPr>
            </w:pPr>
            <w:r>
              <w:rPr>
                <w:b/>
                <w:lang w:val="en-US"/>
              </w:rPr>
              <w:t>INTELLIGENT ARMS</w:t>
            </w:r>
            <w:r>
              <w:rPr>
                <w:lang w:val="en-US"/>
              </w:rPr>
              <w:t xml:space="preserve"> to do huge and precise tasks (Machineries, programming/automation, robotic)</w:t>
            </w:r>
          </w:p>
        </w:tc>
      </w:tr>
      <w:tr w:rsidR="0044392D" w:rsidRPr="001915A3">
        <w:tc>
          <w:tcPr>
            <w:tcW w:w="1243" w:type="dxa"/>
            <w:shd w:val="clear" w:color="auto" w:fill="auto"/>
            <w:tcMar>
              <w:left w:w="98" w:type="dxa"/>
            </w:tcMar>
          </w:tcPr>
          <w:p w:rsidR="0044392D" w:rsidRDefault="00DA4C4C">
            <w:pPr>
              <w:spacing w:after="0" w:line="240" w:lineRule="auto"/>
              <w:jc w:val="both"/>
              <w:rPr>
                <w:lang w:val="en-US"/>
              </w:rPr>
            </w:pPr>
            <w:r>
              <w:rPr>
                <w:lang w:val="en-US"/>
              </w:rPr>
              <w:t>Services oriented</w:t>
            </w:r>
          </w:p>
        </w:tc>
        <w:tc>
          <w:tcPr>
            <w:tcW w:w="8276" w:type="dxa"/>
            <w:shd w:val="clear" w:color="auto" w:fill="auto"/>
            <w:tcMar>
              <w:left w:w="98" w:type="dxa"/>
            </w:tcMar>
          </w:tcPr>
          <w:p w:rsidR="0044392D" w:rsidRDefault="00DA4C4C">
            <w:pPr>
              <w:pStyle w:val="ListParagraph"/>
              <w:numPr>
                <w:ilvl w:val="0"/>
                <w:numId w:val="1"/>
              </w:numPr>
              <w:spacing w:after="0" w:line="240" w:lineRule="auto"/>
              <w:ind w:left="350" w:hanging="284"/>
              <w:jc w:val="both"/>
              <w:rPr>
                <w:lang w:val="en-US"/>
              </w:rPr>
            </w:pPr>
            <w:r>
              <w:rPr>
                <w:b/>
                <w:lang w:val="en-US"/>
              </w:rPr>
              <w:t>INTELLIGENCE</w:t>
            </w:r>
            <w:r>
              <w:rPr>
                <w:lang w:val="en-US"/>
              </w:rPr>
              <w:t xml:space="preserve"> (Data Management &amp; Prescriptions)</w:t>
            </w:r>
          </w:p>
          <w:p w:rsidR="0044392D" w:rsidRDefault="00DA4C4C">
            <w:pPr>
              <w:pStyle w:val="ListParagraph"/>
              <w:numPr>
                <w:ilvl w:val="0"/>
                <w:numId w:val="1"/>
              </w:numPr>
              <w:spacing w:after="0" w:line="240" w:lineRule="auto"/>
              <w:ind w:left="350" w:hanging="284"/>
              <w:jc w:val="both"/>
              <w:rPr>
                <w:lang w:val="en-US"/>
              </w:rPr>
            </w:pPr>
            <w:r>
              <w:rPr>
                <w:b/>
                <w:lang w:val="en-US"/>
              </w:rPr>
              <w:t>MEMORY</w:t>
            </w:r>
            <w:r>
              <w:rPr>
                <w:lang w:val="en-US"/>
              </w:rPr>
              <w:t xml:space="preserve"> to be aware on what has been done (telemetrics, traceability, Big data)</w:t>
            </w:r>
          </w:p>
          <w:p w:rsidR="0044392D" w:rsidRDefault="00DA4C4C">
            <w:pPr>
              <w:pStyle w:val="ListParagraph"/>
              <w:numPr>
                <w:ilvl w:val="0"/>
                <w:numId w:val="1"/>
              </w:numPr>
              <w:spacing w:after="0" w:line="240" w:lineRule="auto"/>
              <w:ind w:left="350" w:hanging="284"/>
              <w:jc w:val="both"/>
              <w:rPr>
                <w:lang w:val="en-US"/>
              </w:rPr>
            </w:pPr>
            <w:r>
              <w:rPr>
                <w:b/>
                <w:lang w:val="en-US"/>
              </w:rPr>
              <w:t>IDENTITY</w:t>
            </w:r>
            <w:r>
              <w:rPr>
                <w:lang w:val="en-US"/>
              </w:rPr>
              <w:t xml:space="preserve"> of agricultural resources and sustainable use at Local &amp; Regional level (territorial complexity, TRL of tools &amp; services, Know-how, KICs and CoPs)</w:t>
            </w:r>
          </w:p>
        </w:tc>
      </w:tr>
    </w:tbl>
    <w:p w:rsidR="0044392D" w:rsidRDefault="0044392D">
      <w:pPr>
        <w:jc w:val="both"/>
        <w:rPr>
          <w:lang w:val="en-US"/>
        </w:rPr>
      </w:pPr>
    </w:p>
    <w:p w:rsidR="0069593B" w:rsidRDefault="0069593B" w:rsidP="0069593B">
      <w:pPr>
        <w:jc w:val="both"/>
        <w:rPr>
          <w:lang w:val="en-US"/>
        </w:rPr>
      </w:pPr>
      <w:r>
        <w:rPr>
          <w:lang w:val="en-US"/>
        </w:rPr>
        <w:t xml:space="preserve">In order to evolve towards a profitable cooperation through the S3 AGROFOOD Platform, an </w:t>
      </w:r>
      <w:r>
        <w:rPr>
          <w:b/>
          <w:lang w:val="en-US"/>
        </w:rPr>
        <w:t>important step</w:t>
      </w:r>
      <w:r>
        <w:rPr>
          <w:lang w:val="en-US"/>
        </w:rPr>
        <w:t xml:space="preserve"> is a </w:t>
      </w:r>
      <w:r>
        <w:rPr>
          <w:b/>
          <w:lang w:val="en-US"/>
        </w:rPr>
        <w:t>cluster/actor analysis</w:t>
      </w:r>
      <w:r>
        <w:rPr>
          <w:lang w:val="en-US"/>
        </w:rPr>
        <w:t xml:space="preserve"> focused on the technology oriented components of high tech farming to help characterizing the agricultural value chains addressed under this sub-thematic platform.</w:t>
      </w:r>
    </w:p>
    <w:p w:rsidR="0069593B" w:rsidRDefault="0069593B" w:rsidP="0069593B">
      <w:pPr>
        <w:jc w:val="both"/>
        <w:rPr>
          <w:lang w:val="en-US"/>
        </w:rPr>
      </w:pPr>
      <w:r>
        <w:rPr>
          <w:lang w:val="en-US"/>
        </w:rPr>
        <w:t>The proposed grid is shown in the following table, where it is required to list various actors (e.g. RTO, Farms/End Users, Enterprises, etc.) belonging to the analysed Value Chain (VC) and to the specific Region. The table distinguishes  5 aspects of high tech farming: EYES and TOUCH (Meteo sensors, Soil sensors, Canopy sensors, Product sensors; On-board/proximal sensors), MIND (Data acquisition, Data analysis, Layers/images, DSS), INTELLIGENT ARMS (Machineries, Programming/Automation, Robotic), technology oriented SERVICES (Installing, Maintenance, Repairing), and educational oriented SERVICES (Training, Demo farms and sites).</w:t>
      </w:r>
    </w:p>
    <w:p w:rsidR="0044392D" w:rsidRDefault="0069593B" w:rsidP="0069593B">
      <w:pPr>
        <w:jc w:val="both"/>
        <w:rPr>
          <w:lang w:val="en-US"/>
        </w:rPr>
      </w:pPr>
      <w:r>
        <w:rPr>
          <w:lang w:val="en-US"/>
        </w:rPr>
        <w:t>Some general examples of technologies and services are:</w:t>
      </w:r>
    </w:p>
    <w:p w:rsidR="006D5F1F" w:rsidRDefault="006D5F1F" w:rsidP="006D5F1F">
      <w:pPr>
        <w:numPr>
          <w:ilvl w:val="0"/>
          <w:numId w:val="8"/>
        </w:numPr>
        <w:contextualSpacing/>
        <w:rPr>
          <w:rFonts w:ascii="Calibri" w:eastAsia="Calibri" w:hAnsi="Calibri" w:cs="Times New Roman"/>
          <w:sz w:val="20"/>
          <w:lang w:val="en-US"/>
        </w:rPr>
      </w:pPr>
      <w:r>
        <w:rPr>
          <w:rFonts w:eastAsia="Calibri" w:cs="Times New Roman"/>
          <w:sz w:val="20"/>
          <w:lang w:val="en-US"/>
        </w:rPr>
        <w:t xml:space="preserve">Eyes and touch are specific technologies related to visualization or measuring of physical parameters </w:t>
      </w:r>
      <w:r>
        <w:rPr>
          <w:rFonts w:cs="Times New Roman"/>
          <w:color w:val="0000FF"/>
          <w:sz w:val="20"/>
          <w:u w:val="single"/>
          <w:lang w:val="en-US"/>
        </w:rPr>
        <w:t>(smart fertirrigation)</w:t>
      </w:r>
      <w:r>
        <w:rPr>
          <w:rFonts w:eastAsia="Calibri" w:cs="Times New Roman"/>
          <w:sz w:val="20"/>
          <w:lang w:val="en-US"/>
        </w:rPr>
        <w:t>.</w:t>
      </w:r>
    </w:p>
    <w:p w:rsidR="006D5F1F" w:rsidRDefault="006D5F1F" w:rsidP="006D5F1F">
      <w:pPr>
        <w:numPr>
          <w:ilvl w:val="1"/>
          <w:numId w:val="8"/>
        </w:numPr>
        <w:contextualSpacing/>
        <w:rPr>
          <w:rFonts w:ascii="Calibri" w:eastAsia="Calibri" w:hAnsi="Calibri" w:cs="Times New Roman"/>
          <w:sz w:val="20"/>
          <w:lang w:val="en-US"/>
        </w:rPr>
      </w:pPr>
      <w:r>
        <w:rPr>
          <w:rFonts w:eastAsia="Calibri" w:cs="Times New Roman"/>
          <w:sz w:val="20"/>
          <w:u w:val="single"/>
          <w:lang w:val="en-US"/>
        </w:rPr>
        <w:t>Meteo sensors</w:t>
      </w:r>
      <w:r>
        <w:rPr>
          <w:rFonts w:eastAsia="Calibri" w:cs="Times New Roman"/>
          <w:sz w:val="20"/>
          <w:lang w:val="en-US"/>
        </w:rPr>
        <w:t>: remote (satellite, aerial) or proximal:</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Agro-Meteorological Weather Stations spread over the territory (proximal)</w:t>
      </w:r>
    </w:p>
    <w:p w:rsidR="006D5F1F" w:rsidRDefault="006D5F1F" w:rsidP="006D5F1F">
      <w:pPr>
        <w:numPr>
          <w:ilvl w:val="2"/>
          <w:numId w:val="8"/>
        </w:numPr>
        <w:contextualSpacing/>
        <w:rPr>
          <w:rFonts w:ascii="Calibri" w:eastAsia="Calibri" w:hAnsi="Calibri" w:cs="Times New Roman"/>
          <w:sz w:val="20"/>
        </w:rPr>
      </w:pPr>
      <w:r>
        <w:rPr>
          <w:rFonts w:eastAsia="Calibri" w:cs="Times New Roman"/>
          <w:sz w:val="20"/>
        </w:rPr>
        <w:t>Agro-meteorological data from satellite (remote)</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Soil Sensors: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Multispectral camera for drones or airplane (remote)</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Humidity sensors connected with weather stations (proximal)</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Conductivity sensors to assess soil features</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Canopy sensors: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Proximal services (sensors on board of ATV) to monitor canopy features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Remote services (on drones) to monitor canopy features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Remote services (on light planes) to monitor canopy features</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Product sensors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Monitoring of fruit and vegetable features</w:t>
      </w:r>
    </w:p>
    <w:p w:rsidR="0069593B" w:rsidRPr="0069593B" w:rsidRDefault="006D5F1F" w:rsidP="0069593B">
      <w:pPr>
        <w:numPr>
          <w:ilvl w:val="2"/>
          <w:numId w:val="8"/>
        </w:numPr>
        <w:contextualSpacing/>
        <w:rPr>
          <w:rFonts w:eastAsia="Calibri" w:cs="Times New Roman"/>
          <w:color w:val="0070C0"/>
          <w:sz w:val="20"/>
          <w:lang w:val="en-US"/>
        </w:rPr>
      </w:pPr>
      <w:r>
        <w:rPr>
          <w:rFonts w:eastAsia="Calibri" w:cs="Times New Roman"/>
          <w:sz w:val="20"/>
          <w:lang w:val="en-US"/>
        </w:rPr>
        <w:t>Photonics devices to assess fruit features</w:t>
      </w:r>
      <w:r w:rsidR="0069593B">
        <w:rPr>
          <w:rFonts w:eastAsia="Calibri" w:cs="Times New Roman"/>
          <w:sz w:val="20"/>
          <w:lang w:val="en-US"/>
        </w:rPr>
        <w:t xml:space="preserve"> </w:t>
      </w:r>
      <w:r w:rsidR="0069593B" w:rsidRPr="0069593B">
        <w:rPr>
          <w:rFonts w:eastAsia="Calibri" w:cs="Times New Roman"/>
          <w:color w:val="0070C0"/>
          <w:sz w:val="20"/>
          <w:lang w:val="en-US"/>
        </w:rPr>
        <w:t>or/and animal activity</w:t>
      </w:r>
    </w:p>
    <w:p w:rsidR="0069593B" w:rsidRPr="0069593B" w:rsidRDefault="0069593B" w:rsidP="0069593B">
      <w:pPr>
        <w:numPr>
          <w:ilvl w:val="2"/>
          <w:numId w:val="8"/>
        </w:numPr>
        <w:contextualSpacing/>
        <w:rPr>
          <w:rFonts w:eastAsia="Calibri" w:cs="Times New Roman"/>
          <w:color w:val="0070C0"/>
          <w:sz w:val="20"/>
          <w:lang w:val="en-US"/>
        </w:rPr>
      </w:pPr>
      <w:r w:rsidRPr="0069593B">
        <w:rPr>
          <w:rFonts w:eastAsia="Calibri" w:cs="Times New Roman"/>
          <w:color w:val="0070C0"/>
          <w:sz w:val="20"/>
          <w:lang w:val="en-US"/>
        </w:rPr>
        <w:t>Positioning and activity sensors (animals)</w:t>
      </w:r>
    </w:p>
    <w:p w:rsidR="006D5F1F" w:rsidRPr="0069593B" w:rsidRDefault="0069593B" w:rsidP="0069593B">
      <w:pPr>
        <w:numPr>
          <w:ilvl w:val="2"/>
          <w:numId w:val="8"/>
        </w:numPr>
        <w:contextualSpacing/>
        <w:rPr>
          <w:rFonts w:eastAsia="Calibri" w:cs="Times New Roman"/>
          <w:sz w:val="20"/>
          <w:lang w:val="en-US"/>
        </w:rPr>
      </w:pPr>
      <w:r w:rsidRPr="0069593B">
        <w:rPr>
          <w:rFonts w:eastAsia="Calibri" w:cs="Times New Roman"/>
          <w:color w:val="0070C0"/>
          <w:sz w:val="20"/>
          <w:lang w:val="en-US"/>
        </w:rPr>
        <w:t xml:space="preserve">Metabolic sensors (animals) </w:t>
      </w:r>
    </w:p>
    <w:p w:rsidR="006D5F1F" w:rsidRDefault="006D5F1F" w:rsidP="006D5F1F">
      <w:pPr>
        <w:numPr>
          <w:ilvl w:val="0"/>
          <w:numId w:val="8"/>
        </w:numPr>
        <w:contextualSpacing/>
        <w:rPr>
          <w:rFonts w:ascii="Calibri" w:eastAsia="Calibri" w:hAnsi="Calibri" w:cs="Times New Roman"/>
          <w:sz w:val="20"/>
          <w:lang w:val="en-US"/>
        </w:rPr>
      </w:pPr>
      <w:r>
        <w:rPr>
          <w:rFonts w:eastAsia="Calibri" w:cs="Times New Roman"/>
          <w:sz w:val="20"/>
          <w:lang w:val="en-US"/>
        </w:rPr>
        <w:t>MIND are ICT that collect and mine data to deliver DSS</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Data acquisition</w:t>
      </w:r>
    </w:p>
    <w:p w:rsidR="006D5F1F" w:rsidRPr="007205BD"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Digital mapping from proximal and remote sensing</w:t>
      </w:r>
    </w:p>
    <w:p w:rsidR="006D5F1F" w:rsidRPr="00DF2440" w:rsidRDefault="006D5F1F" w:rsidP="006D5F1F">
      <w:pPr>
        <w:numPr>
          <w:ilvl w:val="2"/>
          <w:numId w:val="8"/>
        </w:numPr>
        <w:contextualSpacing/>
        <w:rPr>
          <w:rFonts w:cs="Times New Roman"/>
          <w:color w:val="0000FF"/>
          <w:sz w:val="20"/>
          <w:lang w:val="en-US"/>
        </w:rPr>
      </w:pPr>
      <w:r w:rsidRPr="00F30E65">
        <w:rPr>
          <w:rFonts w:cs="Times New Roman"/>
          <w:color w:val="0000FF"/>
          <w:sz w:val="20"/>
          <w:lang w:val="en-US"/>
        </w:rPr>
        <w:t xml:space="preserve">Near-Infrared Reflectance technologies for to determinate phisico-chemical composition and </w:t>
      </w:r>
      <w:r>
        <w:rPr>
          <w:rFonts w:cs="Times New Roman"/>
          <w:color w:val="0000FF"/>
          <w:sz w:val="20"/>
          <w:lang w:val="en-US"/>
        </w:rPr>
        <w:t xml:space="preserve">classification </w:t>
      </w:r>
      <w:r w:rsidRPr="00F30E65">
        <w:rPr>
          <w:rFonts w:cs="Times New Roman"/>
          <w:color w:val="0000FF"/>
          <w:sz w:val="20"/>
          <w:lang w:val="en-US"/>
        </w:rPr>
        <w:t>of agrofood product.</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Data Analysis</w:t>
      </w:r>
    </w:p>
    <w:p w:rsidR="006D5F1F" w:rsidRPr="00DF2440" w:rsidRDefault="006D5F1F" w:rsidP="006D5F1F">
      <w:pPr>
        <w:numPr>
          <w:ilvl w:val="2"/>
          <w:numId w:val="8"/>
        </w:numPr>
        <w:contextualSpacing/>
        <w:rPr>
          <w:rFonts w:ascii="Calibri" w:eastAsia="Calibri" w:hAnsi="Calibri" w:cs="Times New Roman"/>
          <w:sz w:val="20"/>
        </w:rPr>
      </w:pPr>
      <w:r>
        <w:rPr>
          <w:rFonts w:eastAsia="Calibri" w:cs="Times New Roman"/>
          <w:sz w:val="20"/>
        </w:rPr>
        <w:t>Validation of data</w:t>
      </w:r>
    </w:p>
    <w:p w:rsidR="006D5F1F" w:rsidRPr="00DF2440" w:rsidRDefault="006D5F1F" w:rsidP="006D5F1F">
      <w:pPr>
        <w:numPr>
          <w:ilvl w:val="2"/>
          <w:numId w:val="8"/>
        </w:numPr>
        <w:contextualSpacing/>
        <w:rPr>
          <w:rFonts w:cs="Times New Roman"/>
          <w:color w:val="0000FF"/>
          <w:sz w:val="20"/>
        </w:rPr>
      </w:pPr>
      <w:r w:rsidRPr="00F30E65">
        <w:rPr>
          <w:rFonts w:cs="Times New Roman"/>
          <w:color w:val="0000FF"/>
          <w:sz w:val="20"/>
        </w:rPr>
        <w:t xml:space="preserve">Quantitative and qualitative </w:t>
      </w:r>
      <w:r>
        <w:rPr>
          <w:rFonts w:cs="Times New Roman"/>
          <w:color w:val="0000FF"/>
          <w:sz w:val="20"/>
        </w:rPr>
        <w:t>p</w:t>
      </w:r>
      <w:r w:rsidRPr="00F30E65">
        <w:rPr>
          <w:rFonts w:cs="Times New Roman"/>
          <w:color w:val="0000FF"/>
          <w:sz w:val="20"/>
        </w:rPr>
        <w:t>rediction models for NIRs techonology</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Layers</w:t>
      </w:r>
    </w:p>
    <w:p w:rsidR="006D5F1F"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Thematic digital layers on different parameters</w:t>
      </w:r>
    </w:p>
    <w:p w:rsidR="006D5F1F" w:rsidRDefault="006D5F1F" w:rsidP="006D5F1F">
      <w:pPr>
        <w:numPr>
          <w:ilvl w:val="1"/>
          <w:numId w:val="8"/>
        </w:numPr>
        <w:contextualSpacing/>
        <w:rPr>
          <w:rFonts w:ascii="Calibri" w:eastAsia="Calibri" w:hAnsi="Calibri" w:cs="Times New Roman"/>
          <w:sz w:val="20"/>
          <w:u w:val="single"/>
        </w:rPr>
      </w:pPr>
      <w:r>
        <w:rPr>
          <w:rFonts w:eastAsia="Calibri" w:cs="Times New Roman"/>
          <w:sz w:val="20"/>
          <w:u w:val="single"/>
        </w:rPr>
        <w:t>DSS</w:t>
      </w:r>
    </w:p>
    <w:p w:rsidR="006D5F1F" w:rsidRPr="00D5206B"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Forecasting models based on gathered data</w:t>
      </w:r>
    </w:p>
    <w:p w:rsidR="006D5F1F" w:rsidRPr="00DF2440" w:rsidRDefault="006D5F1F" w:rsidP="006D5F1F">
      <w:pPr>
        <w:numPr>
          <w:ilvl w:val="2"/>
          <w:numId w:val="8"/>
        </w:numPr>
        <w:contextualSpacing/>
        <w:rPr>
          <w:rFonts w:ascii="Calibri" w:eastAsia="Calibri" w:hAnsi="Calibri" w:cs="Times New Roman"/>
          <w:sz w:val="20"/>
          <w:lang w:val="en-US"/>
        </w:rPr>
      </w:pPr>
      <w:r>
        <w:rPr>
          <w:rFonts w:eastAsia="Calibri" w:cs="Times New Roman"/>
          <w:sz w:val="20"/>
          <w:lang w:val="en-US"/>
        </w:rPr>
        <w:t>Crop model (irrigation and fertigation)</w:t>
      </w:r>
    </w:p>
    <w:p w:rsidR="006D5F1F" w:rsidRPr="00DF2440" w:rsidRDefault="006D5F1F" w:rsidP="006D5F1F">
      <w:pPr>
        <w:numPr>
          <w:ilvl w:val="2"/>
          <w:numId w:val="8"/>
        </w:numPr>
        <w:contextualSpacing/>
        <w:rPr>
          <w:rFonts w:cs="Times New Roman"/>
          <w:color w:val="0000FF"/>
          <w:sz w:val="20"/>
          <w:lang w:val="en-US"/>
        </w:rPr>
      </w:pPr>
      <w:r w:rsidRPr="00F30E65">
        <w:rPr>
          <w:rFonts w:cs="Times New Roman"/>
          <w:color w:val="0000FF"/>
          <w:sz w:val="20"/>
          <w:lang w:val="en-US"/>
        </w:rPr>
        <w:t>Fraud detection</w:t>
      </w:r>
    </w:p>
    <w:p w:rsidR="0044392D" w:rsidRDefault="00DA4C4C">
      <w:pPr>
        <w:numPr>
          <w:ilvl w:val="0"/>
          <w:numId w:val="8"/>
        </w:numPr>
        <w:contextualSpacing/>
        <w:rPr>
          <w:rFonts w:ascii="Calibri" w:eastAsia="Calibri" w:hAnsi="Calibri" w:cs="Times New Roman"/>
          <w:sz w:val="20"/>
        </w:rPr>
      </w:pPr>
      <w:r>
        <w:rPr>
          <w:rFonts w:eastAsia="Calibri" w:cs="Times New Roman"/>
          <w:sz w:val="20"/>
        </w:rPr>
        <w:t>INTELLIGENT ARMS</w:t>
      </w:r>
    </w:p>
    <w:p w:rsidR="0044392D" w:rsidRDefault="00DA4C4C">
      <w:pPr>
        <w:numPr>
          <w:ilvl w:val="1"/>
          <w:numId w:val="8"/>
        </w:numPr>
        <w:contextualSpacing/>
        <w:rPr>
          <w:rFonts w:ascii="Calibri" w:eastAsia="Calibri" w:hAnsi="Calibri" w:cs="Times New Roman"/>
          <w:sz w:val="20"/>
          <w:u w:val="single"/>
        </w:rPr>
      </w:pPr>
      <w:r>
        <w:rPr>
          <w:rFonts w:eastAsia="Calibri" w:cs="Times New Roman"/>
          <w:sz w:val="20"/>
          <w:u w:val="single"/>
        </w:rPr>
        <w:t>MACHINERY</w:t>
      </w:r>
    </w:p>
    <w:p w:rsidR="0044392D" w:rsidRDefault="00DA4C4C">
      <w:pPr>
        <w:numPr>
          <w:ilvl w:val="2"/>
          <w:numId w:val="8"/>
        </w:numPr>
        <w:contextualSpacing/>
        <w:rPr>
          <w:rFonts w:ascii="Calibri" w:eastAsia="Calibri" w:hAnsi="Calibri" w:cs="Times New Roman"/>
          <w:sz w:val="20"/>
          <w:lang w:val="en-US"/>
        </w:rPr>
      </w:pPr>
      <w:r>
        <w:rPr>
          <w:rFonts w:eastAsia="Calibri" w:cs="Times New Roman"/>
          <w:sz w:val="20"/>
          <w:lang w:val="en-US"/>
        </w:rPr>
        <w:t>Assembled equipment that serve the value chain</w:t>
      </w:r>
    </w:p>
    <w:p w:rsidR="0044392D" w:rsidRDefault="00DA4C4C">
      <w:pPr>
        <w:numPr>
          <w:ilvl w:val="1"/>
          <w:numId w:val="8"/>
        </w:numPr>
        <w:contextualSpacing/>
        <w:rPr>
          <w:rFonts w:ascii="Calibri" w:eastAsia="Calibri" w:hAnsi="Calibri" w:cs="Times New Roman"/>
          <w:sz w:val="20"/>
          <w:u w:val="single"/>
        </w:rPr>
      </w:pPr>
      <w:r>
        <w:rPr>
          <w:rFonts w:eastAsia="Calibri" w:cs="Times New Roman"/>
          <w:sz w:val="20"/>
          <w:u w:val="single"/>
        </w:rPr>
        <w:t>Automation – programming</w:t>
      </w:r>
    </w:p>
    <w:p w:rsidR="0044392D" w:rsidRDefault="00DA4C4C">
      <w:pPr>
        <w:numPr>
          <w:ilvl w:val="2"/>
          <w:numId w:val="8"/>
        </w:numPr>
        <w:contextualSpacing/>
        <w:rPr>
          <w:rFonts w:ascii="Calibri" w:eastAsia="Calibri" w:hAnsi="Calibri" w:cs="Times New Roman"/>
          <w:sz w:val="20"/>
          <w:lang w:val="en-US"/>
        </w:rPr>
      </w:pPr>
      <w:r>
        <w:rPr>
          <w:rFonts w:eastAsia="Calibri" w:cs="Times New Roman"/>
          <w:sz w:val="20"/>
          <w:lang w:val="en-US"/>
        </w:rPr>
        <w:t>Software and related systems to control robotic components and devices in innovative smart equipment</w:t>
      </w:r>
    </w:p>
    <w:p w:rsidR="0044392D" w:rsidRDefault="00DA4C4C">
      <w:pPr>
        <w:numPr>
          <w:ilvl w:val="1"/>
          <w:numId w:val="8"/>
        </w:numPr>
        <w:contextualSpacing/>
        <w:rPr>
          <w:rFonts w:ascii="Calibri" w:eastAsia="Calibri" w:hAnsi="Calibri" w:cs="Times New Roman"/>
          <w:sz w:val="20"/>
          <w:u w:val="single"/>
        </w:rPr>
      </w:pPr>
      <w:r>
        <w:rPr>
          <w:rFonts w:eastAsia="Calibri" w:cs="Times New Roman"/>
          <w:sz w:val="20"/>
          <w:u w:val="single"/>
        </w:rPr>
        <w:lastRenderedPageBreak/>
        <w:t>Robotics</w:t>
      </w:r>
    </w:p>
    <w:p w:rsidR="0044392D" w:rsidRDefault="00DA4C4C">
      <w:pPr>
        <w:numPr>
          <w:ilvl w:val="2"/>
          <w:numId w:val="8"/>
        </w:numPr>
        <w:contextualSpacing/>
        <w:rPr>
          <w:rFonts w:ascii="Calibri" w:eastAsia="Calibri" w:hAnsi="Calibri" w:cs="Times New Roman"/>
          <w:sz w:val="20"/>
          <w:lang w:val="en-US"/>
        </w:rPr>
      </w:pPr>
      <w:r>
        <w:rPr>
          <w:rFonts w:eastAsia="Calibri" w:cs="Times New Roman"/>
          <w:sz w:val="20"/>
          <w:lang w:val="en-US"/>
        </w:rPr>
        <w:t>Autonomous vehicles</w:t>
      </w:r>
    </w:p>
    <w:p w:rsidR="0044392D" w:rsidRDefault="00DA4C4C">
      <w:pPr>
        <w:numPr>
          <w:ilvl w:val="2"/>
          <w:numId w:val="8"/>
        </w:numPr>
        <w:contextualSpacing/>
        <w:rPr>
          <w:rFonts w:ascii="Calibri" w:eastAsia="Calibri" w:hAnsi="Calibri" w:cs="Times New Roman"/>
          <w:sz w:val="20"/>
          <w:lang w:val="en-US"/>
        </w:rPr>
      </w:pPr>
      <w:r>
        <w:rPr>
          <w:rFonts w:eastAsia="Calibri" w:cs="Times New Roman"/>
          <w:sz w:val="20"/>
          <w:lang w:val="en-US"/>
        </w:rPr>
        <w:t>Automated arms</w:t>
      </w:r>
    </w:p>
    <w:p w:rsidR="0044392D" w:rsidRDefault="00DA4C4C">
      <w:pPr>
        <w:numPr>
          <w:ilvl w:val="0"/>
          <w:numId w:val="8"/>
        </w:numPr>
        <w:contextualSpacing/>
        <w:rPr>
          <w:rFonts w:ascii="Calibri" w:eastAsia="Calibri" w:hAnsi="Calibri" w:cs="Times New Roman"/>
          <w:sz w:val="20"/>
        </w:rPr>
      </w:pPr>
      <w:r>
        <w:rPr>
          <w:rFonts w:eastAsia="Calibri" w:cs="Times New Roman"/>
          <w:sz w:val="20"/>
        </w:rPr>
        <w:t>Technical Services</w:t>
      </w:r>
    </w:p>
    <w:p w:rsidR="006D5F1F" w:rsidRPr="001E4638" w:rsidRDefault="00DA4C4C" w:rsidP="006D5F1F">
      <w:pPr>
        <w:numPr>
          <w:ilvl w:val="1"/>
          <w:numId w:val="10"/>
        </w:numPr>
        <w:contextualSpacing/>
        <w:rPr>
          <w:rFonts w:ascii="Calibri" w:eastAsia="Calibri" w:hAnsi="Calibri" w:cs="Times New Roman"/>
          <w:sz w:val="20"/>
          <w:u w:val="single"/>
          <w:lang w:val="en-US"/>
        </w:rPr>
      </w:pPr>
      <w:r>
        <w:rPr>
          <w:rFonts w:eastAsia="Calibri" w:cs="Times New Roman"/>
          <w:sz w:val="20"/>
          <w:u w:val="single"/>
          <w:lang w:val="en-US"/>
        </w:rPr>
        <w:t xml:space="preserve">Installing/ Mainteinance/Repairing of e.g. </w:t>
      </w:r>
      <w:bookmarkStart w:id="1" w:name="move469988239"/>
      <w:bookmarkEnd w:id="1"/>
      <w:r>
        <w:rPr>
          <w:rFonts w:eastAsia="Calibri" w:cs="Times New Roman"/>
          <w:sz w:val="20"/>
          <w:u w:val="single"/>
          <w:lang w:val="en-US"/>
        </w:rPr>
        <w:t>Agro-Meteorological Weather Stations</w:t>
      </w:r>
      <w:r w:rsidR="006D5F1F">
        <w:rPr>
          <w:rFonts w:eastAsia="Calibri" w:cs="Times New Roman"/>
          <w:sz w:val="20"/>
          <w:u w:val="single"/>
          <w:lang w:val="en-US"/>
        </w:rPr>
        <w:t xml:space="preserve"> </w:t>
      </w:r>
      <w:r w:rsidR="006D5F1F" w:rsidRPr="00F30E65">
        <w:rPr>
          <w:rFonts w:cs="Times New Roman"/>
          <w:color w:val="0000FF"/>
          <w:sz w:val="20"/>
          <w:u w:val="single"/>
          <w:lang w:val="en-US"/>
        </w:rPr>
        <w:t>or on</w:t>
      </w:r>
      <w:r w:rsidR="006D5F1F">
        <w:rPr>
          <w:rFonts w:cs="Times New Roman"/>
          <w:color w:val="0000FF"/>
          <w:sz w:val="20"/>
          <w:u w:val="single"/>
          <w:lang w:val="en-US"/>
        </w:rPr>
        <w:t>-</w:t>
      </w:r>
      <w:r w:rsidR="006D5F1F" w:rsidRPr="00F30E65">
        <w:rPr>
          <w:rFonts w:cs="Times New Roman"/>
          <w:color w:val="0000FF"/>
          <w:sz w:val="20"/>
          <w:u w:val="single"/>
          <w:lang w:val="en-US"/>
        </w:rPr>
        <w:t>line production chain</w:t>
      </w:r>
      <w:r w:rsidR="006D5F1F">
        <w:rPr>
          <w:rFonts w:cs="Times New Roman"/>
          <w:color w:val="0000FF"/>
          <w:sz w:val="20"/>
          <w:u w:val="single"/>
          <w:lang w:val="en-US"/>
        </w:rPr>
        <w:t xml:space="preserve"> </w:t>
      </w:r>
    </w:p>
    <w:p w:rsidR="0044392D" w:rsidRPr="006D5F1F" w:rsidRDefault="006D5F1F" w:rsidP="006D5F1F">
      <w:pPr>
        <w:numPr>
          <w:ilvl w:val="1"/>
          <w:numId w:val="10"/>
        </w:numPr>
        <w:contextualSpacing/>
        <w:rPr>
          <w:rFonts w:cs="Times New Roman"/>
          <w:color w:val="0000FF"/>
          <w:sz w:val="20"/>
          <w:u w:val="single"/>
          <w:lang w:val="en-US"/>
        </w:rPr>
      </w:pPr>
      <w:r w:rsidRPr="009A1C34">
        <w:rPr>
          <w:rFonts w:cs="Times New Roman"/>
          <w:color w:val="0000FF"/>
          <w:sz w:val="20"/>
          <w:u w:val="single"/>
          <w:lang w:val="en-US"/>
        </w:rPr>
        <w:t>Training / advice in the identification of sensors most suitable for each need.</w:t>
      </w:r>
    </w:p>
    <w:p w:rsidR="0044392D" w:rsidRDefault="0044392D">
      <w:pPr>
        <w:contextualSpacing/>
        <w:rPr>
          <w:rFonts w:ascii="Calibri" w:eastAsia="Calibri" w:hAnsi="Calibri" w:cs="Times New Roman"/>
          <w:sz w:val="20"/>
          <w:lang w:val="en-US"/>
        </w:rPr>
      </w:pPr>
    </w:p>
    <w:p w:rsidR="0044392D" w:rsidRDefault="00DA4C4C">
      <w:pPr>
        <w:numPr>
          <w:ilvl w:val="0"/>
          <w:numId w:val="8"/>
        </w:numPr>
        <w:contextualSpacing/>
        <w:rPr>
          <w:rFonts w:ascii="Calibri" w:eastAsia="Calibri" w:hAnsi="Calibri" w:cs="Times New Roman"/>
          <w:sz w:val="20"/>
        </w:rPr>
      </w:pPr>
      <w:r>
        <w:rPr>
          <w:rFonts w:eastAsia="Calibri" w:cs="Times New Roman"/>
          <w:sz w:val="20"/>
        </w:rPr>
        <w:t>Educational Services</w:t>
      </w:r>
    </w:p>
    <w:p w:rsidR="0044392D" w:rsidRDefault="00DA4C4C">
      <w:pPr>
        <w:numPr>
          <w:ilvl w:val="1"/>
          <w:numId w:val="8"/>
        </w:numPr>
        <w:contextualSpacing/>
        <w:rPr>
          <w:rFonts w:ascii="Calibri" w:eastAsia="Calibri" w:hAnsi="Calibri" w:cs="Times New Roman"/>
          <w:sz w:val="20"/>
          <w:u w:val="single"/>
          <w:lang w:val="en-US"/>
        </w:rPr>
      </w:pPr>
      <w:bookmarkStart w:id="2" w:name="move4699882391"/>
      <w:bookmarkEnd w:id="2"/>
      <w:r>
        <w:rPr>
          <w:rFonts w:eastAsia="Calibri" w:cs="Times New Roman"/>
          <w:sz w:val="20"/>
          <w:u w:val="single"/>
          <w:lang w:val="en-US"/>
        </w:rPr>
        <w:t>Installing/ Mainteinance/Repairing of Agro-Meteorological Weather Stations</w:t>
      </w:r>
    </w:p>
    <w:p w:rsidR="0044392D" w:rsidRDefault="00DA4C4C">
      <w:pPr>
        <w:numPr>
          <w:ilvl w:val="1"/>
          <w:numId w:val="8"/>
        </w:numPr>
        <w:contextualSpacing/>
        <w:rPr>
          <w:rFonts w:ascii="Calibri" w:eastAsia="Calibri" w:hAnsi="Calibri" w:cs="Times New Roman"/>
          <w:sz w:val="20"/>
          <w:u w:val="single"/>
        </w:rPr>
      </w:pPr>
      <w:r>
        <w:rPr>
          <w:rFonts w:eastAsia="Calibri" w:cs="Times New Roman"/>
          <w:sz w:val="20"/>
          <w:u w:val="single"/>
        </w:rPr>
        <w:t>Training</w:t>
      </w:r>
    </w:p>
    <w:p w:rsidR="006D5F1F" w:rsidRPr="006D5F1F" w:rsidRDefault="006D5F1F" w:rsidP="006D5F1F">
      <w:pPr>
        <w:numPr>
          <w:ilvl w:val="2"/>
          <w:numId w:val="8"/>
        </w:numPr>
        <w:contextualSpacing/>
        <w:rPr>
          <w:rFonts w:eastAsia="Calibri" w:cs="Times New Roman"/>
          <w:sz w:val="20"/>
          <w:lang w:val="en-US"/>
        </w:rPr>
      </w:pPr>
      <w:r w:rsidRPr="006D5F1F">
        <w:rPr>
          <w:rFonts w:eastAsia="Calibri" w:cs="Times New Roman"/>
          <w:sz w:val="20"/>
          <w:lang w:val="en-US"/>
        </w:rPr>
        <w:t>Farmers training in synergy with Higher Education trainings and Pilots</w:t>
      </w:r>
    </w:p>
    <w:p w:rsidR="006D5F1F" w:rsidRPr="006D5F1F" w:rsidRDefault="006D5F1F" w:rsidP="006D5F1F">
      <w:pPr>
        <w:numPr>
          <w:ilvl w:val="2"/>
          <w:numId w:val="8"/>
        </w:numPr>
        <w:contextualSpacing/>
        <w:rPr>
          <w:rFonts w:eastAsia="Calibri" w:cs="Times New Roman"/>
          <w:color w:val="0070C0"/>
          <w:sz w:val="20"/>
          <w:lang w:val="en-US"/>
        </w:rPr>
      </w:pPr>
      <w:r w:rsidRPr="006D5F1F">
        <w:rPr>
          <w:rFonts w:eastAsia="Calibri" w:cs="Times New Roman"/>
          <w:color w:val="0070C0"/>
          <w:sz w:val="20"/>
          <w:lang w:val="en-US"/>
        </w:rPr>
        <w:t>Sensor management and adaptation to each crop</w:t>
      </w:r>
    </w:p>
    <w:p w:rsidR="0044392D" w:rsidRDefault="00DA4C4C">
      <w:pPr>
        <w:numPr>
          <w:ilvl w:val="1"/>
          <w:numId w:val="8"/>
        </w:numPr>
        <w:contextualSpacing/>
        <w:rPr>
          <w:rFonts w:ascii="Calibri" w:eastAsia="Calibri" w:hAnsi="Calibri" w:cs="Times New Roman"/>
          <w:sz w:val="20"/>
          <w:u w:val="single"/>
        </w:rPr>
      </w:pPr>
      <w:r>
        <w:rPr>
          <w:rFonts w:eastAsia="Calibri" w:cs="Times New Roman"/>
          <w:sz w:val="20"/>
          <w:u w:val="single"/>
        </w:rPr>
        <w:t>Demo Farms/Sites</w:t>
      </w:r>
    </w:p>
    <w:p w:rsidR="0044392D" w:rsidRDefault="00DA4C4C">
      <w:pPr>
        <w:numPr>
          <w:ilvl w:val="2"/>
          <w:numId w:val="8"/>
        </w:numPr>
        <w:contextualSpacing/>
        <w:rPr>
          <w:rFonts w:ascii="Calibri" w:eastAsia="Calibri" w:hAnsi="Calibri" w:cs="Times New Roman"/>
          <w:sz w:val="20"/>
          <w:lang w:val="en-US"/>
        </w:rPr>
      </w:pPr>
      <w:r>
        <w:rPr>
          <w:rFonts w:eastAsia="Calibri" w:cs="Times New Roman"/>
          <w:sz w:val="20"/>
          <w:lang w:val="en-US"/>
        </w:rPr>
        <w:t>Referral sites for demonstrating the listed technologies and services.</w:t>
      </w:r>
    </w:p>
    <w:p w:rsidR="0044392D" w:rsidRDefault="0044392D">
      <w:pPr>
        <w:contextualSpacing/>
        <w:rPr>
          <w:rFonts w:ascii="Calibri" w:eastAsia="Calibri" w:hAnsi="Calibri" w:cs="Times New Roman"/>
          <w:lang w:val="en-US"/>
        </w:rPr>
      </w:pPr>
    </w:p>
    <w:p w:rsidR="0044392D" w:rsidRDefault="0044392D">
      <w:pPr>
        <w:contextualSpacing/>
        <w:rPr>
          <w:rFonts w:ascii="Calibri" w:eastAsia="Calibri" w:hAnsi="Calibri" w:cs="Times New Roman"/>
          <w:lang w:val="en-US"/>
        </w:rPr>
      </w:pPr>
    </w:p>
    <w:p w:rsidR="0044392D" w:rsidRDefault="00DA4C4C">
      <w:pPr>
        <w:jc w:val="both"/>
        <w:rPr>
          <w:color w:val="FF0000"/>
          <w:lang w:val="en-US"/>
        </w:rPr>
      </w:pPr>
      <w:r>
        <w:rPr>
          <w:noProof/>
          <w:lang w:val="en-GB" w:eastAsia="en-GB"/>
        </w:rPr>
        <w:drawing>
          <wp:inline distT="0" distB="0" distL="0" distR="0">
            <wp:extent cx="6120130" cy="131699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9"/>
                    <a:stretch>
                      <a:fillRect/>
                    </a:stretch>
                  </pic:blipFill>
                  <pic:spPr bwMode="auto">
                    <a:xfrm>
                      <a:off x="0" y="0"/>
                      <a:ext cx="6120130" cy="1316990"/>
                    </a:xfrm>
                    <a:prstGeom prst="rect">
                      <a:avLst/>
                    </a:prstGeom>
                  </pic:spPr>
                </pic:pic>
              </a:graphicData>
            </a:graphic>
          </wp:inline>
        </w:drawing>
      </w:r>
    </w:p>
    <w:p w:rsidR="0044392D" w:rsidRDefault="00DA4C4C">
      <w:pPr>
        <w:spacing w:after="0"/>
        <w:jc w:val="both"/>
        <w:rPr>
          <w:lang w:val="en-US"/>
        </w:rPr>
      </w:pPr>
      <w:r>
        <w:rPr>
          <w:lang w:val="en-US"/>
        </w:rPr>
        <w:t>Participating Regions are requested to fill in one table for each value chain, selecting among the five which were approved at the kick-off event in Florence (6-7 December 2016):</w:t>
      </w:r>
    </w:p>
    <w:p w:rsidR="0044392D" w:rsidRDefault="00DA4C4C">
      <w:pPr>
        <w:pStyle w:val="ListParagraph"/>
        <w:numPr>
          <w:ilvl w:val="0"/>
          <w:numId w:val="6"/>
        </w:numPr>
        <w:jc w:val="both"/>
        <w:rPr>
          <w:lang w:val="en-US"/>
        </w:rPr>
      </w:pPr>
      <w:r>
        <w:rPr>
          <w:lang w:val="en-US"/>
        </w:rPr>
        <w:t>Tree nursery, Viticulture, Fruits (relatively highly intensive);</w:t>
      </w:r>
    </w:p>
    <w:p w:rsidR="0044392D" w:rsidRDefault="00DA4C4C">
      <w:pPr>
        <w:pStyle w:val="ListParagraph"/>
        <w:numPr>
          <w:ilvl w:val="0"/>
          <w:numId w:val="6"/>
        </w:numPr>
        <w:jc w:val="both"/>
        <w:rPr>
          <w:lang w:val="en-US"/>
        </w:rPr>
      </w:pPr>
      <w:r>
        <w:rPr>
          <w:lang w:val="en-US"/>
        </w:rPr>
        <w:t>Livestock outdoor;</w:t>
      </w:r>
    </w:p>
    <w:p w:rsidR="0044392D" w:rsidRDefault="00DA4C4C">
      <w:pPr>
        <w:pStyle w:val="ListParagraph"/>
        <w:numPr>
          <w:ilvl w:val="0"/>
          <w:numId w:val="6"/>
        </w:numPr>
        <w:jc w:val="both"/>
        <w:rPr>
          <w:lang w:val="en-US"/>
        </w:rPr>
      </w:pPr>
      <w:r>
        <w:rPr>
          <w:lang w:val="en-US"/>
        </w:rPr>
        <w:t>Livestock indoor;</w:t>
      </w:r>
    </w:p>
    <w:p w:rsidR="0044392D" w:rsidRDefault="00DA4C4C">
      <w:pPr>
        <w:pStyle w:val="ListParagraph"/>
        <w:numPr>
          <w:ilvl w:val="0"/>
          <w:numId w:val="6"/>
        </w:numPr>
        <w:jc w:val="both"/>
        <w:rPr>
          <w:lang w:val="en-US"/>
        </w:rPr>
      </w:pPr>
      <w:r>
        <w:rPr>
          <w:lang w:val="en-US"/>
        </w:rPr>
        <w:t>Arable, Cereals, vegetables (outdoor – relatively less intensive);</w:t>
      </w:r>
    </w:p>
    <w:p w:rsidR="0044392D" w:rsidRPr="00DA4C4C" w:rsidRDefault="00DA4C4C">
      <w:pPr>
        <w:pStyle w:val="ListParagraph"/>
        <w:numPr>
          <w:ilvl w:val="0"/>
          <w:numId w:val="6"/>
        </w:numPr>
        <w:jc w:val="both"/>
        <w:rPr>
          <w:lang w:val="en-US"/>
        </w:rPr>
      </w:pPr>
      <w:r>
        <w:rPr>
          <w:lang w:val="en-US"/>
        </w:rPr>
        <w:t xml:space="preserve">Protected cultivation </w:t>
      </w:r>
      <w:r>
        <w:rPr>
          <w:color w:val="1F497D"/>
          <w:lang w:val="en-GB"/>
        </w:rPr>
        <w:t>(different types of greenhouses, highly intensive)</w:t>
      </w:r>
      <w:r>
        <w:rPr>
          <w:lang w:val="en-US"/>
        </w:rPr>
        <w:t>.</w:t>
      </w:r>
    </w:p>
    <w:p w:rsidR="0044392D" w:rsidRDefault="00DA4C4C">
      <w:pPr>
        <w:spacing w:after="0"/>
        <w:jc w:val="both"/>
        <w:rPr>
          <w:lang w:val="en-US"/>
        </w:rPr>
      </w:pPr>
      <w:r>
        <w:rPr>
          <w:lang w:val="en-US"/>
        </w:rPr>
        <w:t>First source of information should be the expertise internal to the Regional bodies:</w:t>
      </w:r>
    </w:p>
    <w:p w:rsidR="0044392D" w:rsidRDefault="00DA4C4C">
      <w:pPr>
        <w:pStyle w:val="ListParagraph"/>
        <w:numPr>
          <w:ilvl w:val="0"/>
          <w:numId w:val="2"/>
        </w:numPr>
        <w:rPr>
          <w:lang w:val="en-US"/>
        </w:rPr>
      </w:pPr>
      <w:r>
        <w:rPr>
          <w:lang w:val="en-US"/>
        </w:rPr>
        <w:t>officers in charge of Rural Development Measures, particularly those related with innovation;</w:t>
      </w:r>
    </w:p>
    <w:p w:rsidR="0044392D" w:rsidRDefault="00DA4C4C">
      <w:pPr>
        <w:pStyle w:val="ListParagraph"/>
        <w:numPr>
          <w:ilvl w:val="0"/>
          <w:numId w:val="2"/>
        </w:numPr>
        <w:rPr>
          <w:lang w:val="en-US"/>
        </w:rPr>
      </w:pPr>
      <w:r>
        <w:rPr>
          <w:lang w:val="en-US"/>
        </w:rPr>
        <w:t>officers in charge of research programmes;</w:t>
      </w:r>
    </w:p>
    <w:p w:rsidR="0044392D" w:rsidRDefault="00DA4C4C">
      <w:pPr>
        <w:pStyle w:val="ListParagraph"/>
        <w:numPr>
          <w:ilvl w:val="0"/>
          <w:numId w:val="2"/>
        </w:numPr>
        <w:rPr>
          <w:lang w:val="en-US"/>
        </w:rPr>
      </w:pPr>
      <w:r>
        <w:rPr>
          <w:lang w:val="en-US"/>
        </w:rPr>
        <w:t>officers in charge of Technology Clusters policies;</w:t>
      </w:r>
    </w:p>
    <w:p w:rsidR="0044392D" w:rsidRDefault="00DA4C4C">
      <w:pPr>
        <w:pStyle w:val="ListParagraph"/>
        <w:numPr>
          <w:ilvl w:val="0"/>
          <w:numId w:val="2"/>
        </w:numPr>
        <w:rPr>
          <w:lang w:val="en-US"/>
        </w:rPr>
      </w:pPr>
      <w:r>
        <w:rPr>
          <w:lang w:val="en-US"/>
        </w:rPr>
        <w:t>etc..</w:t>
      </w:r>
    </w:p>
    <w:p w:rsidR="0044392D" w:rsidRDefault="00DA4C4C">
      <w:pPr>
        <w:spacing w:after="0"/>
        <w:rPr>
          <w:lang w:val="en-US"/>
        </w:rPr>
      </w:pPr>
      <w:r>
        <w:rPr>
          <w:lang w:val="en-US"/>
        </w:rPr>
        <w:t>Additional sources could be external experts:</w:t>
      </w:r>
    </w:p>
    <w:p w:rsidR="0044392D" w:rsidRDefault="00DA4C4C">
      <w:pPr>
        <w:pStyle w:val="ListParagraph"/>
        <w:numPr>
          <w:ilvl w:val="0"/>
          <w:numId w:val="2"/>
        </w:numPr>
        <w:spacing w:after="0"/>
        <w:rPr>
          <w:lang w:val="en-US"/>
        </w:rPr>
      </w:pPr>
      <w:r>
        <w:rPr>
          <w:lang w:val="en-US"/>
        </w:rPr>
        <w:t>RTOs (Universities);</w:t>
      </w:r>
    </w:p>
    <w:p w:rsidR="0044392D" w:rsidRDefault="00DA4C4C">
      <w:pPr>
        <w:pStyle w:val="ListParagraph"/>
        <w:numPr>
          <w:ilvl w:val="0"/>
          <w:numId w:val="2"/>
        </w:numPr>
        <w:spacing w:after="0"/>
        <w:rPr>
          <w:lang w:val="en-US"/>
        </w:rPr>
      </w:pPr>
      <w:r>
        <w:rPr>
          <w:lang w:val="en-US"/>
        </w:rPr>
        <w:t>Farmers and Farmers Organizations;</w:t>
      </w:r>
    </w:p>
    <w:p w:rsidR="0044392D" w:rsidRDefault="00DA4C4C">
      <w:pPr>
        <w:pStyle w:val="ListParagraph"/>
        <w:numPr>
          <w:ilvl w:val="0"/>
          <w:numId w:val="2"/>
        </w:numPr>
        <w:spacing w:after="0"/>
        <w:rPr>
          <w:lang w:val="en-US"/>
        </w:rPr>
      </w:pPr>
      <w:r>
        <w:rPr>
          <w:lang w:val="en-US"/>
        </w:rPr>
        <w:t>SMEs and Big Industries;</w:t>
      </w:r>
    </w:p>
    <w:p w:rsidR="0044392D" w:rsidRDefault="00DA4C4C">
      <w:pPr>
        <w:pStyle w:val="ListParagraph"/>
        <w:numPr>
          <w:ilvl w:val="0"/>
          <w:numId w:val="2"/>
        </w:numPr>
        <w:spacing w:after="0"/>
        <w:rPr>
          <w:lang w:val="en-US"/>
        </w:rPr>
      </w:pPr>
      <w:r>
        <w:rPr>
          <w:lang w:val="en-US"/>
        </w:rPr>
        <w:t>Consultants;</w:t>
      </w:r>
    </w:p>
    <w:p w:rsidR="0044392D" w:rsidRDefault="00DA4C4C">
      <w:pPr>
        <w:pStyle w:val="ListParagraph"/>
        <w:numPr>
          <w:ilvl w:val="0"/>
          <w:numId w:val="2"/>
        </w:numPr>
        <w:spacing w:after="120"/>
        <w:ind w:left="714" w:hanging="357"/>
        <w:rPr>
          <w:lang w:val="en-US"/>
        </w:rPr>
      </w:pPr>
      <w:r>
        <w:rPr>
          <w:lang w:val="en-US"/>
        </w:rPr>
        <w:t>Etc.</w:t>
      </w:r>
    </w:p>
    <w:p w:rsidR="0044392D" w:rsidRDefault="00DA4C4C">
      <w:pPr>
        <w:spacing w:after="0"/>
        <w:rPr>
          <w:lang w:val="en-US"/>
        </w:rPr>
      </w:pPr>
      <w:r>
        <w:rPr>
          <w:lang w:val="en-US"/>
        </w:rPr>
        <w:t>Main references for data acquisition are existing regional projects (EARDF and ERDF) and research projects (European, National or Regional).</w:t>
      </w:r>
    </w:p>
    <w:p w:rsidR="0044392D" w:rsidRDefault="00DA4C4C">
      <w:pPr>
        <w:rPr>
          <w:lang w:val="en-US"/>
        </w:rPr>
      </w:pPr>
      <w:r w:rsidRPr="00DA4C4C">
        <w:rPr>
          <w:lang w:val="en-US"/>
        </w:rPr>
        <w:br w:type="page"/>
      </w:r>
    </w:p>
    <w:p w:rsidR="0044392D" w:rsidRDefault="00DA4C4C">
      <w:pPr>
        <w:pStyle w:val="ListParagraph"/>
        <w:numPr>
          <w:ilvl w:val="0"/>
          <w:numId w:val="3"/>
        </w:numPr>
        <w:pBdr>
          <w:bottom w:val="single" w:sz="4" w:space="1" w:color="00000A"/>
        </w:pBdr>
        <w:spacing w:before="240"/>
        <w:ind w:left="425" w:hanging="357"/>
        <w:jc w:val="both"/>
        <w:rPr>
          <w:b/>
          <w:lang w:val="en-US"/>
        </w:rPr>
      </w:pPr>
      <w:r>
        <w:rPr>
          <w:b/>
          <w:lang w:val="en-US"/>
        </w:rPr>
        <w:lastRenderedPageBreak/>
        <w:t>PROPOSED JOINT ACTION PLAN (based on the discussion at the kick-off event of 6-7 December)</w:t>
      </w:r>
    </w:p>
    <w:p w:rsidR="0044392D" w:rsidRDefault="00DA4C4C">
      <w:pPr>
        <w:pStyle w:val="ListParagraph"/>
        <w:numPr>
          <w:ilvl w:val="0"/>
          <w:numId w:val="4"/>
        </w:numPr>
        <w:spacing w:before="240"/>
        <w:ind w:left="714" w:hanging="357"/>
        <w:rPr>
          <w:b/>
          <w:lang w:val="en-US"/>
        </w:rPr>
      </w:pPr>
      <w:r>
        <w:rPr>
          <w:b/>
          <w:lang w:val="en-US"/>
        </w:rPr>
        <w:t>STEP 1: Enlarging the partnership and defining a common objective and vision</w:t>
      </w:r>
    </w:p>
    <w:p w:rsidR="0044392D" w:rsidRDefault="00DA4C4C">
      <w:pPr>
        <w:pStyle w:val="ListParagraph"/>
        <w:numPr>
          <w:ilvl w:val="1"/>
          <w:numId w:val="4"/>
        </w:numPr>
        <w:rPr>
          <w:b/>
          <w:i/>
          <w:lang w:val="en-US"/>
        </w:rPr>
      </w:pPr>
      <w:r>
        <w:rPr>
          <w:b/>
          <w:i/>
          <w:lang w:val="en-US"/>
        </w:rPr>
        <w:t>Selection of application domains</w:t>
      </w:r>
    </w:p>
    <w:p w:rsidR="0044392D" w:rsidRDefault="00DA4C4C">
      <w:pPr>
        <w:spacing w:after="0"/>
        <w:jc w:val="both"/>
        <w:rPr>
          <w:lang w:val="en-US"/>
        </w:rPr>
      </w:pPr>
      <w:r>
        <w:rPr>
          <w:lang w:val="en-US"/>
        </w:rPr>
        <w:t>During the kick-off event Regions and participants agreed to work on 5 value chains:</w:t>
      </w:r>
    </w:p>
    <w:p w:rsidR="0044392D" w:rsidRDefault="00DA4C4C">
      <w:pPr>
        <w:pStyle w:val="ListParagraph"/>
        <w:numPr>
          <w:ilvl w:val="0"/>
          <w:numId w:val="6"/>
        </w:numPr>
        <w:jc w:val="both"/>
        <w:rPr>
          <w:sz w:val="20"/>
          <w:lang w:val="en-US"/>
        </w:rPr>
      </w:pPr>
      <w:r>
        <w:rPr>
          <w:sz w:val="20"/>
          <w:lang w:val="en-US"/>
        </w:rPr>
        <w:t>Tree nursery, Viticulture, Fruits (relatively highly intensive);</w:t>
      </w:r>
    </w:p>
    <w:p w:rsidR="0044392D" w:rsidRDefault="00DA4C4C">
      <w:pPr>
        <w:pStyle w:val="ListParagraph"/>
        <w:numPr>
          <w:ilvl w:val="0"/>
          <w:numId w:val="6"/>
        </w:numPr>
        <w:jc w:val="both"/>
        <w:rPr>
          <w:sz w:val="20"/>
          <w:lang w:val="en-US"/>
        </w:rPr>
      </w:pPr>
      <w:r>
        <w:rPr>
          <w:sz w:val="20"/>
          <w:lang w:val="en-US"/>
        </w:rPr>
        <w:t>Livestock outdoor;</w:t>
      </w:r>
    </w:p>
    <w:p w:rsidR="0044392D" w:rsidRDefault="00DA4C4C">
      <w:pPr>
        <w:pStyle w:val="ListParagraph"/>
        <w:numPr>
          <w:ilvl w:val="0"/>
          <w:numId w:val="6"/>
        </w:numPr>
        <w:jc w:val="both"/>
        <w:rPr>
          <w:sz w:val="20"/>
          <w:lang w:val="en-US"/>
        </w:rPr>
      </w:pPr>
      <w:r>
        <w:rPr>
          <w:sz w:val="20"/>
          <w:lang w:val="en-US"/>
        </w:rPr>
        <w:t>Livestock indoor;</w:t>
      </w:r>
    </w:p>
    <w:p w:rsidR="0044392D" w:rsidRDefault="00DA4C4C">
      <w:pPr>
        <w:pStyle w:val="ListParagraph"/>
        <w:numPr>
          <w:ilvl w:val="0"/>
          <w:numId w:val="6"/>
        </w:numPr>
        <w:jc w:val="both"/>
        <w:rPr>
          <w:sz w:val="20"/>
          <w:lang w:val="en-US"/>
        </w:rPr>
      </w:pPr>
      <w:r>
        <w:rPr>
          <w:sz w:val="20"/>
          <w:lang w:val="en-US"/>
        </w:rPr>
        <w:t>Arable, Cereals, vegetables (outdoor – relatively less intensive);</w:t>
      </w:r>
    </w:p>
    <w:p w:rsidR="0044392D" w:rsidRPr="00DA4C4C" w:rsidRDefault="00DA4C4C">
      <w:pPr>
        <w:pStyle w:val="ListParagraph"/>
        <w:numPr>
          <w:ilvl w:val="0"/>
          <w:numId w:val="6"/>
        </w:numPr>
        <w:ind w:left="714" w:hanging="357"/>
        <w:jc w:val="both"/>
        <w:rPr>
          <w:lang w:val="en-US"/>
        </w:rPr>
      </w:pPr>
      <w:r>
        <w:rPr>
          <w:sz w:val="20"/>
          <w:lang w:val="en-US"/>
        </w:rPr>
        <w:t xml:space="preserve">Protected cultivation </w:t>
      </w:r>
      <w:r>
        <w:rPr>
          <w:color w:val="1F497D"/>
          <w:sz w:val="20"/>
          <w:lang w:val="en-GB"/>
        </w:rPr>
        <w:t>(different types of greenhouses, highly intensive)</w:t>
      </w:r>
      <w:r>
        <w:rPr>
          <w:sz w:val="20"/>
          <w:lang w:val="en-US"/>
        </w:rPr>
        <w:t>.</w:t>
      </w:r>
    </w:p>
    <w:p w:rsidR="0044392D" w:rsidRDefault="00DA4C4C">
      <w:pPr>
        <w:spacing w:after="120"/>
        <w:jc w:val="both"/>
        <w:rPr>
          <w:lang w:val="en-US"/>
        </w:rPr>
      </w:pPr>
      <w:r>
        <w:rPr>
          <w:lang w:val="en-US"/>
        </w:rPr>
        <w:t>Some of the participating Regions have also expressed their interest in acting as co-lead or partner Region. A first overview of the expressed interest is resumed in the following table, but the partnership is open and other  Regions can express their interest (or revise their decision). Co-lead Regions have to commit and engage in producing relevant data and assure the participation in meetings and events.</w:t>
      </w:r>
    </w:p>
    <w:tbl>
      <w:tblPr>
        <w:tblStyle w:val="GridTable4-Accent11"/>
        <w:tblW w:w="4900" w:type="pct"/>
        <w:tblInd w:w="4" w:type="dxa"/>
        <w:tblCellMar>
          <w:left w:w="98" w:type="dxa"/>
        </w:tblCellMar>
        <w:tblLook w:val="0420" w:firstRow="1" w:lastRow="0" w:firstColumn="0" w:lastColumn="0" w:noHBand="0" w:noVBand="1"/>
      </w:tblPr>
      <w:tblGrid>
        <w:gridCol w:w="2448"/>
        <w:gridCol w:w="315"/>
        <w:gridCol w:w="2126"/>
        <w:gridCol w:w="1106"/>
        <w:gridCol w:w="3652"/>
      </w:tblGrid>
      <w:tr w:rsidR="0044392D" w:rsidTr="0044392D">
        <w:trPr>
          <w:cnfStyle w:val="100000000000" w:firstRow="1" w:lastRow="0" w:firstColumn="0" w:lastColumn="0" w:oddVBand="0" w:evenVBand="0" w:oddHBand="0" w:evenHBand="0" w:firstRowFirstColumn="0" w:firstRowLastColumn="0" w:lastRowFirstColumn="0" w:lastRowLastColumn="0"/>
          <w:trHeight w:val="20"/>
        </w:trPr>
        <w:tc>
          <w:tcPr>
            <w:tcW w:w="2397" w:type="dxa"/>
            <w:tcBorders>
              <w:top w:val="single" w:sz="4" w:space="0" w:color="5B9BD5"/>
              <w:left w:val="single" w:sz="4" w:space="0" w:color="5B9BD5"/>
              <w:bottom w:val="single" w:sz="4" w:space="0" w:color="5B9BD5"/>
              <w:right w:val="single" w:sz="4" w:space="0" w:color="5B9BD5"/>
            </w:tcBorders>
            <w:tcMar>
              <w:left w:w="98" w:type="dxa"/>
            </w:tcMar>
          </w:tcPr>
          <w:p w:rsidR="0044392D" w:rsidRPr="001915A3" w:rsidRDefault="0044392D">
            <w:pPr>
              <w:spacing w:after="0" w:line="240" w:lineRule="auto"/>
              <w:contextualSpacing/>
              <w:rPr>
                <w:color w:val="FFFFFF" w:themeColor="background1"/>
                <w:lang w:val="en-GB"/>
              </w:rPr>
            </w:pPr>
          </w:p>
        </w:tc>
        <w:tc>
          <w:tcPr>
            <w:tcW w:w="2389" w:type="dxa"/>
            <w:gridSpan w:val="2"/>
            <w:tcBorders>
              <w:top w:val="single" w:sz="4" w:space="0" w:color="5B9BD5"/>
              <w:left w:val="single" w:sz="4" w:space="0" w:color="5B9BD5"/>
              <w:bottom w:val="single" w:sz="4" w:space="0" w:color="5B9BD5"/>
              <w:right w:val="single" w:sz="4" w:space="0" w:color="5B9BD5"/>
            </w:tcBorders>
            <w:tcMar>
              <w:left w:w="98" w:type="dxa"/>
            </w:tcMar>
          </w:tcPr>
          <w:p w:rsidR="0044392D" w:rsidRDefault="00DA4C4C">
            <w:pPr>
              <w:spacing w:after="0" w:line="240" w:lineRule="auto"/>
              <w:contextualSpacing/>
              <w:jc w:val="center"/>
              <w:rPr>
                <w:lang w:val="en-GB"/>
              </w:rPr>
            </w:pPr>
            <w:r>
              <w:rPr>
                <w:color w:val="FFFFFF" w:themeColor="background1"/>
                <w:lang w:val="en-US"/>
              </w:rPr>
              <w:t>Co-leading regions</w:t>
            </w:r>
          </w:p>
        </w:tc>
        <w:tc>
          <w:tcPr>
            <w:tcW w:w="4659" w:type="dxa"/>
            <w:gridSpan w:val="2"/>
            <w:tcBorders>
              <w:top w:val="single" w:sz="4" w:space="0" w:color="5B9BD5"/>
              <w:left w:val="single" w:sz="4" w:space="0" w:color="5B9BD5"/>
              <w:bottom w:val="single" w:sz="4" w:space="0" w:color="5B9BD5"/>
              <w:right w:val="single" w:sz="4" w:space="0" w:color="5B9BD5"/>
            </w:tcBorders>
            <w:tcMar>
              <w:left w:w="98" w:type="dxa"/>
            </w:tcMar>
          </w:tcPr>
          <w:p w:rsidR="0044392D" w:rsidRDefault="00DA4C4C">
            <w:pPr>
              <w:spacing w:after="0" w:line="240" w:lineRule="auto"/>
              <w:contextualSpacing/>
              <w:jc w:val="center"/>
              <w:rPr>
                <w:lang w:val="en-GB"/>
              </w:rPr>
            </w:pPr>
            <w:r>
              <w:rPr>
                <w:color w:val="FFFFFF" w:themeColor="background1"/>
                <w:lang w:val="en-US"/>
              </w:rPr>
              <w:t>Participating regions</w:t>
            </w:r>
          </w:p>
        </w:tc>
      </w:tr>
      <w:tr w:rsidR="0044392D" w:rsidTr="0044392D">
        <w:trPr>
          <w:cnfStyle w:val="000000100000" w:firstRow="0" w:lastRow="0" w:firstColumn="0" w:lastColumn="0" w:oddVBand="0" w:evenVBand="0" w:oddHBand="1" w:evenHBand="0" w:firstRowFirstColumn="0" w:firstRowLastColumn="0" w:lastRowFirstColumn="0" w:lastRowLastColumn="0"/>
          <w:trHeight w:val="20"/>
        </w:trPr>
        <w:tc>
          <w:tcPr>
            <w:tcW w:w="2705" w:type="dxa"/>
            <w:gridSpan w:val="2"/>
            <w:tcMar>
              <w:left w:w="98" w:type="dxa"/>
            </w:tcMar>
          </w:tcPr>
          <w:p w:rsidR="0044392D" w:rsidRDefault="00DA4C4C">
            <w:pPr>
              <w:spacing w:after="0" w:line="240" w:lineRule="auto"/>
              <w:contextualSpacing/>
              <w:rPr>
                <w:b/>
                <w:lang w:val="en-GB"/>
              </w:rPr>
            </w:pPr>
            <w:r>
              <w:rPr>
                <w:b/>
                <w:lang w:val="en-US"/>
              </w:rPr>
              <w:t>Tree nursery, Viticulture, Fruits (relatively more intensive)</w:t>
            </w:r>
          </w:p>
        </w:tc>
        <w:tc>
          <w:tcPr>
            <w:tcW w:w="3164" w:type="dxa"/>
            <w:gridSpan w:val="2"/>
            <w:tcMar>
              <w:left w:w="98" w:type="dxa"/>
            </w:tcMar>
          </w:tcPr>
          <w:p w:rsidR="0044392D" w:rsidRDefault="00DA4C4C">
            <w:pPr>
              <w:numPr>
                <w:ilvl w:val="0"/>
                <w:numId w:val="7"/>
              </w:numPr>
              <w:spacing w:after="0" w:line="240" w:lineRule="auto"/>
              <w:contextualSpacing/>
              <w:jc w:val="both"/>
              <w:rPr>
                <w:lang w:val="en-GB"/>
              </w:rPr>
            </w:pPr>
            <w:r>
              <w:rPr>
                <w:lang w:val="en-US"/>
              </w:rPr>
              <w:t>Tuscany</w:t>
            </w:r>
          </w:p>
          <w:p w:rsidR="0044392D" w:rsidRDefault="00DA4C4C">
            <w:pPr>
              <w:numPr>
                <w:ilvl w:val="0"/>
                <w:numId w:val="7"/>
              </w:numPr>
              <w:spacing w:after="0" w:line="240" w:lineRule="auto"/>
              <w:contextualSpacing/>
              <w:jc w:val="both"/>
              <w:rPr>
                <w:lang w:val="en-GB"/>
              </w:rPr>
            </w:pPr>
            <w:r>
              <w:rPr>
                <w:lang w:val="en-US"/>
              </w:rPr>
              <w:t xml:space="preserve">Galicia </w:t>
            </w:r>
          </w:p>
          <w:p w:rsidR="0044392D" w:rsidRDefault="00DA4C4C">
            <w:pPr>
              <w:numPr>
                <w:ilvl w:val="0"/>
                <w:numId w:val="7"/>
              </w:numPr>
              <w:spacing w:after="0" w:line="240" w:lineRule="auto"/>
              <w:contextualSpacing/>
              <w:jc w:val="both"/>
              <w:rPr>
                <w:lang w:val="en-GB"/>
              </w:rPr>
            </w:pPr>
            <w:r>
              <w:rPr>
                <w:lang w:val="en-US"/>
              </w:rPr>
              <w:t>Extremadura</w:t>
            </w:r>
          </w:p>
          <w:p w:rsidR="0044392D" w:rsidRDefault="00DA4C4C">
            <w:pPr>
              <w:numPr>
                <w:ilvl w:val="0"/>
                <w:numId w:val="7"/>
              </w:numPr>
              <w:spacing w:after="0" w:line="240" w:lineRule="auto"/>
              <w:contextualSpacing/>
              <w:jc w:val="both"/>
              <w:rPr>
                <w:lang w:val="en-GB"/>
              </w:rPr>
            </w:pPr>
            <w:r>
              <w:rPr>
                <w:lang w:val="en-US"/>
              </w:rPr>
              <w:t>Gelderland</w:t>
            </w:r>
          </w:p>
          <w:p w:rsidR="0044392D" w:rsidRDefault="00DA4C4C">
            <w:pPr>
              <w:numPr>
                <w:ilvl w:val="0"/>
                <w:numId w:val="7"/>
              </w:numPr>
              <w:spacing w:after="0" w:line="240" w:lineRule="auto"/>
              <w:contextualSpacing/>
              <w:jc w:val="both"/>
              <w:rPr>
                <w:lang w:val="en-GB"/>
              </w:rPr>
            </w:pPr>
            <w:r>
              <w:rPr>
                <w:lang w:val="en-US"/>
              </w:rPr>
              <w:t>Central Macedonia</w:t>
            </w:r>
          </w:p>
          <w:p w:rsidR="0044392D" w:rsidRDefault="00DA4C4C">
            <w:pPr>
              <w:numPr>
                <w:ilvl w:val="0"/>
                <w:numId w:val="7"/>
              </w:numPr>
              <w:spacing w:after="0" w:line="240" w:lineRule="auto"/>
              <w:contextualSpacing/>
              <w:jc w:val="both"/>
              <w:rPr>
                <w:lang w:val="en-GB"/>
              </w:rPr>
            </w:pPr>
            <w:r>
              <w:rPr>
                <w:lang w:val="en-US"/>
              </w:rPr>
              <w:t>Marche</w:t>
            </w:r>
          </w:p>
        </w:tc>
        <w:tc>
          <w:tcPr>
            <w:tcW w:w="3576" w:type="dxa"/>
            <w:tcMar>
              <w:left w:w="98" w:type="dxa"/>
            </w:tcMar>
          </w:tcPr>
          <w:p w:rsidR="0044392D" w:rsidRDefault="00DA4C4C">
            <w:pPr>
              <w:numPr>
                <w:ilvl w:val="0"/>
                <w:numId w:val="7"/>
              </w:numPr>
              <w:spacing w:after="0" w:line="240" w:lineRule="auto"/>
              <w:contextualSpacing/>
              <w:jc w:val="both"/>
              <w:rPr>
                <w:lang w:val="en-GB"/>
              </w:rPr>
            </w:pPr>
            <w:r>
              <w:rPr>
                <w:lang w:val="en-US"/>
              </w:rPr>
              <w:t>West Macedonia</w:t>
            </w:r>
          </w:p>
          <w:p w:rsidR="0044392D" w:rsidRDefault="00DA4C4C">
            <w:pPr>
              <w:numPr>
                <w:ilvl w:val="0"/>
                <w:numId w:val="7"/>
              </w:numPr>
              <w:spacing w:after="0" w:line="240" w:lineRule="auto"/>
              <w:contextualSpacing/>
              <w:jc w:val="both"/>
              <w:rPr>
                <w:lang w:val="en-GB"/>
              </w:rPr>
            </w:pPr>
            <w:r>
              <w:rPr>
                <w:lang w:val="en-US"/>
              </w:rPr>
              <w:t>Weser-Ems</w:t>
            </w:r>
          </w:p>
          <w:p w:rsidR="0044392D" w:rsidRDefault="00DA4C4C">
            <w:pPr>
              <w:numPr>
                <w:ilvl w:val="0"/>
                <w:numId w:val="7"/>
              </w:numPr>
              <w:spacing w:after="0" w:line="240" w:lineRule="auto"/>
              <w:contextualSpacing/>
              <w:jc w:val="both"/>
              <w:rPr>
                <w:lang w:val="en-GB"/>
              </w:rPr>
            </w:pPr>
            <w:r>
              <w:rPr>
                <w:lang w:val="en-US"/>
              </w:rPr>
              <w:t>Zuid Holland</w:t>
            </w:r>
          </w:p>
          <w:p w:rsidR="0044392D" w:rsidRPr="00DA4C4C" w:rsidRDefault="00DA4C4C">
            <w:pPr>
              <w:numPr>
                <w:ilvl w:val="0"/>
                <w:numId w:val="7"/>
              </w:numPr>
              <w:spacing w:after="0" w:line="240" w:lineRule="auto"/>
              <w:contextualSpacing/>
              <w:jc w:val="both"/>
              <w:rPr>
                <w:lang w:val="en-GB"/>
              </w:rPr>
            </w:pPr>
            <w:r>
              <w:rPr>
                <w:lang w:val="en-US"/>
              </w:rPr>
              <w:t>Limburg</w:t>
            </w:r>
          </w:p>
          <w:p w:rsidR="00DA4C4C" w:rsidRDefault="00DA4C4C">
            <w:pPr>
              <w:numPr>
                <w:ilvl w:val="0"/>
                <w:numId w:val="7"/>
              </w:numPr>
              <w:spacing w:after="0" w:line="240" w:lineRule="auto"/>
              <w:contextualSpacing/>
              <w:jc w:val="both"/>
              <w:rPr>
                <w:lang w:val="en-GB"/>
              </w:rPr>
            </w:pPr>
            <w:r>
              <w:rPr>
                <w:lang w:val="en-US"/>
              </w:rPr>
              <w:t>North East Romania</w:t>
            </w:r>
          </w:p>
        </w:tc>
      </w:tr>
      <w:tr w:rsidR="0044392D" w:rsidTr="0044392D">
        <w:trPr>
          <w:trHeight w:val="20"/>
        </w:trPr>
        <w:tc>
          <w:tcPr>
            <w:tcW w:w="2705" w:type="dxa"/>
            <w:gridSpan w:val="2"/>
            <w:shd w:val="clear" w:color="auto" w:fill="auto"/>
            <w:tcMar>
              <w:left w:w="98" w:type="dxa"/>
            </w:tcMar>
          </w:tcPr>
          <w:p w:rsidR="0044392D" w:rsidRDefault="00DA4C4C">
            <w:pPr>
              <w:spacing w:after="0" w:line="240" w:lineRule="auto"/>
              <w:contextualSpacing/>
              <w:rPr>
                <w:b/>
                <w:lang w:val="en-GB"/>
              </w:rPr>
            </w:pPr>
            <w:r>
              <w:rPr>
                <w:b/>
                <w:lang w:val="en-US"/>
              </w:rPr>
              <w:t>Livestock outdoor</w:t>
            </w:r>
          </w:p>
        </w:tc>
        <w:tc>
          <w:tcPr>
            <w:tcW w:w="3164" w:type="dxa"/>
            <w:gridSpan w:val="2"/>
            <w:shd w:val="clear" w:color="auto" w:fill="auto"/>
            <w:tcMar>
              <w:left w:w="98" w:type="dxa"/>
            </w:tcMar>
          </w:tcPr>
          <w:p w:rsidR="0044392D" w:rsidRDefault="00DA4C4C">
            <w:pPr>
              <w:numPr>
                <w:ilvl w:val="0"/>
                <w:numId w:val="7"/>
              </w:numPr>
              <w:spacing w:after="0" w:line="240" w:lineRule="auto"/>
              <w:contextualSpacing/>
              <w:jc w:val="both"/>
              <w:rPr>
                <w:lang w:val="en-GB"/>
              </w:rPr>
            </w:pPr>
            <w:r>
              <w:rPr>
                <w:lang w:val="en-US"/>
              </w:rPr>
              <w:t>Central Macedonia</w:t>
            </w:r>
          </w:p>
          <w:p w:rsidR="0044392D" w:rsidRDefault="00DA4C4C">
            <w:pPr>
              <w:numPr>
                <w:ilvl w:val="0"/>
                <w:numId w:val="7"/>
              </w:numPr>
              <w:spacing w:after="0" w:line="240" w:lineRule="auto"/>
              <w:contextualSpacing/>
              <w:jc w:val="both"/>
              <w:rPr>
                <w:lang w:val="en-GB"/>
              </w:rPr>
            </w:pPr>
            <w:r>
              <w:rPr>
                <w:lang w:val="en-US"/>
              </w:rPr>
              <w:t>Extremadura</w:t>
            </w:r>
          </w:p>
        </w:tc>
        <w:tc>
          <w:tcPr>
            <w:tcW w:w="3576" w:type="dxa"/>
            <w:shd w:val="clear" w:color="auto" w:fill="auto"/>
            <w:tcMar>
              <w:left w:w="98" w:type="dxa"/>
            </w:tcMar>
          </w:tcPr>
          <w:p w:rsidR="0044392D" w:rsidRDefault="00DA4C4C">
            <w:pPr>
              <w:numPr>
                <w:ilvl w:val="0"/>
                <w:numId w:val="7"/>
              </w:numPr>
              <w:spacing w:after="0" w:line="240" w:lineRule="auto"/>
              <w:contextualSpacing/>
              <w:jc w:val="both"/>
              <w:rPr>
                <w:lang w:val="en-GB"/>
              </w:rPr>
            </w:pPr>
            <w:r>
              <w:rPr>
                <w:lang w:val="en-US"/>
              </w:rPr>
              <w:t>East Sweden</w:t>
            </w:r>
          </w:p>
          <w:p w:rsidR="0044392D" w:rsidRDefault="00DA4C4C">
            <w:pPr>
              <w:numPr>
                <w:ilvl w:val="0"/>
                <w:numId w:val="7"/>
              </w:numPr>
              <w:spacing w:after="0" w:line="240" w:lineRule="auto"/>
              <w:contextualSpacing/>
              <w:jc w:val="both"/>
              <w:rPr>
                <w:lang w:val="en-GB"/>
              </w:rPr>
            </w:pPr>
            <w:r>
              <w:rPr>
                <w:lang w:val="en-US"/>
              </w:rPr>
              <w:t>Tuscany</w:t>
            </w:r>
          </w:p>
          <w:p w:rsidR="0044392D" w:rsidRDefault="00DA4C4C">
            <w:pPr>
              <w:numPr>
                <w:ilvl w:val="0"/>
                <w:numId w:val="7"/>
              </w:numPr>
              <w:spacing w:after="0" w:line="240" w:lineRule="auto"/>
              <w:contextualSpacing/>
              <w:jc w:val="both"/>
              <w:rPr>
                <w:lang w:val="en-GB"/>
              </w:rPr>
            </w:pPr>
            <w:r>
              <w:rPr>
                <w:lang w:val="en-US"/>
              </w:rPr>
              <w:t>West Macedonia</w:t>
            </w:r>
          </w:p>
          <w:p w:rsidR="0044392D" w:rsidRDefault="00DA4C4C">
            <w:pPr>
              <w:numPr>
                <w:ilvl w:val="0"/>
                <w:numId w:val="7"/>
              </w:numPr>
              <w:spacing w:after="0" w:line="240" w:lineRule="auto"/>
              <w:contextualSpacing/>
              <w:jc w:val="both"/>
              <w:rPr>
                <w:lang w:val="en-GB"/>
              </w:rPr>
            </w:pPr>
            <w:r>
              <w:rPr>
                <w:lang w:val="en-US"/>
              </w:rPr>
              <w:t xml:space="preserve">Auvergne Rhone Alpes </w:t>
            </w:r>
          </w:p>
          <w:p w:rsidR="0044392D" w:rsidRPr="00914745" w:rsidRDefault="00DA4C4C">
            <w:pPr>
              <w:numPr>
                <w:ilvl w:val="0"/>
                <w:numId w:val="7"/>
              </w:numPr>
              <w:spacing w:after="0" w:line="240" w:lineRule="auto"/>
              <w:contextualSpacing/>
              <w:jc w:val="both"/>
              <w:rPr>
                <w:lang w:val="en-GB"/>
              </w:rPr>
            </w:pPr>
            <w:r>
              <w:rPr>
                <w:lang w:val="en-US"/>
              </w:rPr>
              <w:t>Galicia</w:t>
            </w:r>
          </w:p>
          <w:p w:rsidR="00914745" w:rsidRDefault="00914745">
            <w:pPr>
              <w:numPr>
                <w:ilvl w:val="0"/>
                <w:numId w:val="7"/>
              </w:numPr>
              <w:spacing w:after="0" w:line="240" w:lineRule="auto"/>
              <w:contextualSpacing/>
              <w:jc w:val="both"/>
              <w:rPr>
                <w:lang w:val="en-GB"/>
              </w:rPr>
            </w:pPr>
            <w:r>
              <w:rPr>
                <w:lang w:val="en-US"/>
              </w:rPr>
              <w:t>Northern Ireland</w:t>
            </w:r>
          </w:p>
        </w:tc>
      </w:tr>
      <w:tr w:rsidR="0044392D" w:rsidTr="0044392D">
        <w:trPr>
          <w:cnfStyle w:val="000000100000" w:firstRow="0" w:lastRow="0" w:firstColumn="0" w:lastColumn="0" w:oddVBand="0" w:evenVBand="0" w:oddHBand="1" w:evenHBand="0" w:firstRowFirstColumn="0" w:firstRowLastColumn="0" w:lastRowFirstColumn="0" w:lastRowLastColumn="0"/>
          <w:trHeight w:val="20"/>
        </w:trPr>
        <w:tc>
          <w:tcPr>
            <w:tcW w:w="2705" w:type="dxa"/>
            <w:gridSpan w:val="2"/>
            <w:tcMar>
              <w:left w:w="98" w:type="dxa"/>
            </w:tcMar>
          </w:tcPr>
          <w:p w:rsidR="0044392D" w:rsidRDefault="00DA4C4C">
            <w:pPr>
              <w:spacing w:after="0" w:line="240" w:lineRule="auto"/>
              <w:contextualSpacing/>
              <w:rPr>
                <w:b/>
                <w:lang w:val="en-GB"/>
              </w:rPr>
            </w:pPr>
            <w:r>
              <w:rPr>
                <w:b/>
                <w:lang w:val="en-US"/>
              </w:rPr>
              <w:t>Livestock indoor</w:t>
            </w:r>
          </w:p>
        </w:tc>
        <w:tc>
          <w:tcPr>
            <w:tcW w:w="3164" w:type="dxa"/>
            <w:gridSpan w:val="2"/>
            <w:tcMar>
              <w:left w:w="98" w:type="dxa"/>
            </w:tcMar>
          </w:tcPr>
          <w:p w:rsidR="0044392D" w:rsidRDefault="00DA4C4C">
            <w:pPr>
              <w:numPr>
                <w:ilvl w:val="0"/>
                <w:numId w:val="7"/>
              </w:numPr>
              <w:spacing w:after="0" w:line="240" w:lineRule="auto"/>
              <w:contextualSpacing/>
              <w:jc w:val="both"/>
              <w:rPr>
                <w:lang w:val="en-GB"/>
              </w:rPr>
            </w:pPr>
            <w:r>
              <w:rPr>
                <w:lang w:val="en-US"/>
              </w:rPr>
              <w:t>Galicia</w:t>
            </w:r>
          </w:p>
        </w:tc>
        <w:tc>
          <w:tcPr>
            <w:tcW w:w="3576" w:type="dxa"/>
            <w:tcMar>
              <w:left w:w="98" w:type="dxa"/>
            </w:tcMar>
          </w:tcPr>
          <w:p w:rsidR="0044392D" w:rsidRDefault="00DA4C4C">
            <w:pPr>
              <w:numPr>
                <w:ilvl w:val="0"/>
                <w:numId w:val="7"/>
              </w:numPr>
              <w:spacing w:after="0" w:line="240" w:lineRule="auto"/>
              <w:contextualSpacing/>
              <w:jc w:val="both"/>
              <w:rPr>
                <w:lang w:val="en-GB"/>
              </w:rPr>
            </w:pPr>
            <w:r>
              <w:rPr>
                <w:lang w:val="en-US"/>
              </w:rPr>
              <w:t>Weser-Ems</w:t>
            </w:r>
          </w:p>
          <w:p w:rsidR="0044392D" w:rsidRDefault="00DA4C4C">
            <w:pPr>
              <w:numPr>
                <w:ilvl w:val="0"/>
                <w:numId w:val="7"/>
              </w:numPr>
              <w:spacing w:after="0" w:line="240" w:lineRule="auto"/>
              <w:contextualSpacing/>
              <w:jc w:val="both"/>
              <w:rPr>
                <w:lang w:val="en-GB"/>
              </w:rPr>
            </w:pPr>
            <w:r>
              <w:rPr>
                <w:lang w:val="en-US"/>
              </w:rPr>
              <w:t>East Sweden</w:t>
            </w:r>
          </w:p>
          <w:p w:rsidR="0044392D" w:rsidRPr="00914745" w:rsidRDefault="00DA4C4C">
            <w:pPr>
              <w:numPr>
                <w:ilvl w:val="0"/>
                <w:numId w:val="7"/>
              </w:numPr>
              <w:spacing w:after="0" w:line="240" w:lineRule="auto"/>
              <w:contextualSpacing/>
              <w:jc w:val="both"/>
              <w:rPr>
                <w:lang w:val="en-GB"/>
              </w:rPr>
            </w:pPr>
            <w:r>
              <w:rPr>
                <w:lang w:val="en-US"/>
              </w:rPr>
              <w:t>Central Macedonia</w:t>
            </w:r>
          </w:p>
          <w:p w:rsidR="00914745" w:rsidRDefault="00914745">
            <w:pPr>
              <w:numPr>
                <w:ilvl w:val="0"/>
                <w:numId w:val="7"/>
              </w:numPr>
              <w:spacing w:after="0" w:line="240" w:lineRule="auto"/>
              <w:contextualSpacing/>
              <w:jc w:val="both"/>
              <w:rPr>
                <w:lang w:val="en-GB"/>
              </w:rPr>
            </w:pPr>
            <w:r>
              <w:rPr>
                <w:lang w:val="en-US"/>
              </w:rPr>
              <w:t>Northern Ireland</w:t>
            </w:r>
          </w:p>
        </w:tc>
      </w:tr>
      <w:tr w:rsidR="0044392D" w:rsidTr="0044392D">
        <w:trPr>
          <w:trHeight w:val="20"/>
        </w:trPr>
        <w:tc>
          <w:tcPr>
            <w:tcW w:w="2705" w:type="dxa"/>
            <w:gridSpan w:val="2"/>
            <w:shd w:val="clear" w:color="auto" w:fill="auto"/>
            <w:tcMar>
              <w:left w:w="98" w:type="dxa"/>
            </w:tcMar>
          </w:tcPr>
          <w:p w:rsidR="0044392D" w:rsidRDefault="00DA4C4C">
            <w:pPr>
              <w:spacing w:after="0" w:line="240" w:lineRule="auto"/>
              <w:contextualSpacing/>
              <w:rPr>
                <w:b/>
                <w:lang w:val="en-GB"/>
              </w:rPr>
            </w:pPr>
            <w:r>
              <w:rPr>
                <w:b/>
                <w:lang w:val="en-US"/>
              </w:rPr>
              <w:t>Arable, Cereals, vegetables (outdoor)</w:t>
            </w:r>
          </w:p>
        </w:tc>
        <w:tc>
          <w:tcPr>
            <w:tcW w:w="3164" w:type="dxa"/>
            <w:gridSpan w:val="2"/>
            <w:shd w:val="clear" w:color="auto" w:fill="auto"/>
            <w:tcMar>
              <w:left w:w="98" w:type="dxa"/>
            </w:tcMar>
          </w:tcPr>
          <w:p w:rsidR="0044392D" w:rsidRDefault="00DA4C4C">
            <w:pPr>
              <w:numPr>
                <w:ilvl w:val="0"/>
                <w:numId w:val="7"/>
              </w:numPr>
              <w:spacing w:after="0" w:line="240" w:lineRule="auto"/>
              <w:contextualSpacing/>
              <w:jc w:val="both"/>
              <w:rPr>
                <w:lang w:val="en-GB"/>
              </w:rPr>
            </w:pPr>
            <w:r>
              <w:rPr>
                <w:lang w:val="en-US"/>
              </w:rPr>
              <w:t>Tuscany</w:t>
            </w:r>
          </w:p>
          <w:p w:rsidR="0044392D" w:rsidRPr="00863BE4" w:rsidRDefault="00DA4C4C">
            <w:pPr>
              <w:numPr>
                <w:ilvl w:val="0"/>
                <w:numId w:val="7"/>
              </w:numPr>
              <w:spacing w:after="0" w:line="240" w:lineRule="auto"/>
              <w:contextualSpacing/>
              <w:jc w:val="both"/>
              <w:rPr>
                <w:lang w:val="en-GB"/>
              </w:rPr>
            </w:pPr>
            <w:r>
              <w:rPr>
                <w:lang w:val="en-US"/>
              </w:rPr>
              <w:t>The Netherlands (TBC)</w:t>
            </w:r>
          </w:p>
          <w:p w:rsidR="00863BE4" w:rsidRDefault="00863BE4" w:rsidP="00863BE4">
            <w:pPr>
              <w:numPr>
                <w:ilvl w:val="0"/>
                <w:numId w:val="7"/>
              </w:numPr>
              <w:spacing w:after="0" w:line="240" w:lineRule="auto"/>
              <w:contextualSpacing/>
              <w:jc w:val="both"/>
              <w:rPr>
                <w:lang w:val="en-GB"/>
              </w:rPr>
            </w:pPr>
            <w:r>
              <w:rPr>
                <w:lang w:val="en-US"/>
              </w:rPr>
              <w:t>Extremadura (</w:t>
            </w:r>
            <w:r w:rsidRPr="00863BE4">
              <w:rPr>
                <w:lang w:val="en-US"/>
              </w:rPr>
              <w:t>processing tomato crop</w:t>
            </w:r>
            <w:r>
              <w:rPr>
                <w:lang w:val="en-US"/>
              </w:rPr>
              <w:t>)</w:t>
            </w:r>
          </w:p>
        </w:tc>
        <w:tc>
          <w:tcPr>
            <w:tcW w:w="3576" w:type="dxa"/>
            <w:shd w:val="clear" w:color="auto" w:fill="auto"/>
            <w:tcMar>
              <w:left w:w="98" w:type="dxa"/>
            </w:tcMar>
          </w:tcPr>
          <w:p w:rsidR="0044392D" w:rsidRDefault="00DA4C4C">
            <w:pPr>
              <w:numPr>
                <w:ilvl w:val="0"/>
                <w:numId w:val="7"/>
              </w:numPr>
              <w:spacing w:after="0" w:line="240" w:lineRule="auto"/>
              <w:contextualSpacing/>
              <w:jc w:val="both"/>
              <w:rPr>
                <w:lang w:val="en-GB"/>
              </w:rPr>
            </w:pPr>
            <w:r>
              <w:rPr>
                <w:lang w:val="en-US"/>
              </w:rPr>
              <w:t>Galicia</w:t>
            </w:r>
          </w:p>
          <w:p w:rsidR="0044392D" w:rsidRDefault="00DA4C4C">
            <w:pPr>
              <w:numPr>
                <w:ilvl w:val="0"/>
                <w:numId w:val="7"/>
              </w:numPr>
              <w:spacing w:after="0" w:line="240" w:lineRule="auto"/>
              <w:contextualSpacing/>
              <w:jc w:val="both"/>
              <w:rPr>
                <w:lang w:val="en-GB"/>
              </w:rPr>
            </w:pPr>
            <w:r>
              <w:rPr>
                <w:lang w:val="en-US"/>
              </w:rPr>
              <w:t>East Sweden</w:t>
            </w:r>
          </w:p>
          <w:p w:rsidR="0044392D" w:rsidRDefault="00DA4C4C">
            <w:pPr>
              <w:numPr>
                <w:ilvl w:val="0"/>
                <w:numId w:val="7"/>
              </w:numPr>
              <w:spacing w:after="0" w:line="240" w:lineRule="auto"/>
              <w:contextualSpacing/>
              <w:jc w:val="both"/>
              <w:rPr>
                <w:lang w:val="en-GB"/>
              </w:rPr>
            </w:pPr>
            <w:r>
              <w:rPr>
                <w:lang w:val="en-US"/>
              </w:rPr>
              <w:t>Weser Ems</w:t>
            </w:r>
          </w:p>
          <w:p w:rsidR="0044392D" w:rsidRDefault="00DA4C4C">
            <w:pPr>
              <w:numPr>
                <w:ilvl w:val="0"/>
                <w:numId w:val="7"/>
              </w:numPr>
              <w:spacing w:after="0" w:line="240" w:lineRule="auto"/>
              <w:contextualSpacing/>
              <w:jc w:val="both"/>
              <w:rPr>
                <w:lang w:val="en-GB"/>
              </w:rPr>
            </w:pPr>
            <w:r>
              <w:rPr>
                <w:lang w:val="en-US"/>
              </w:rPr>
              <w:t>Marche</w:t>
            </w:r>
          </w:p>
          <w:p w:rsidR="0044392D" w:rsidRDefault="00DA4C4C">
            <w:pPr>
              <w:numPr>
                <w:ilvl w:val="0"/>
                <w:numId w:val="7"/>
              </w:numPr>
              <w:spacing w:after="0" w:line="240" w:lineRule="auto"/>
              <w:contextualSpacing/>
              <w:jc w:val="both"/>
              <w:rPr>
                <w:lang w:val="en-GB"/>
              </w:rPr>
            </w:pPr>
            <w:r>
              <w:rPr>
                <w:lang w:val="en-US"/>
              </w:rPr>
              <w:t>Central Macedonia</w:t>
            </w:r>
          </w:p>
          <w:p w:rsidR="00DA4C4C" w:rsidRPr="00914745" w:rsidRDefault="00DA4C4C">
            <w:pPr>
              <w:numPr>
                <w:ilvl w:val="0"/>
                <w:numId w:val="7"/>
              </w:numPr>
              <w:spacing w:after="0" w:line="240" w:lineRule="auto"/>
              <w:contextualSpacing/>
              <w:jc w:val="both"/>
              <w:rPr>
                <w:lang w:val="en-GB"/>
              </w:rPr>
            </w:pPr>
            <w:r>
              <w:rPr>
                <w:lang w:val="en-US"/>
              </w:rPr>
              <w:t>North East Romania</w:t>
            </w:r>
          </w:p>
          <w:p w:rsidR="00914745" w:rsidRDefault="00914745">
            <w:pPr>
              <w:numPr>
                <w:ilvl w:val="0"/>
                <w:numId w:val="7"/>
              </w:numPr>
              <w:spacing w:after="0" w:line="240" w:lineRule="auto"/>
              <w:contextualSpacing/>
              <w:jc w:val="both"/>
              <w:rPr>
                <w:lang w:val="en-GB"/>
              </w:rPr>
            </w:pPr>
            <w:r>
              <w:rPr>
                <w:lang w:val="en-US"/>
              </w:rPr>
              <w:t>Northern Ireland</w:t>
            </w:r>
          </w:p>
        </w:tc>
      </w:tr>
      <w:tr w:rsidR="0044392D" w:rsidTr="0044392D">
        <w:trPr>
          <w:cnfStyle w:val="000000100000" w:firstRow="0" w:lastRow="0" w:firstColumn="0" w:lastColumn="0" w:oddVBand="0" w:evenVBand="0" w:oddHBand="1" w:evenHBand="0" w:firstRowFirstColumn="0" w:firstRowLastColumn="0" w:lastRowFirstColumn="0" w:lastRowLastColumn="0"/>
          <w:trHeight w:val="20"/>
        </w:trPr>
        <w:tc>
          <w:tcPr>
            <w:tcW w:w="2705" w:type="dxa"/>
            <w:gridSpan w:val="2"/>
            <w:tcMar>
              <w:left w:w="98" w:type="dxa"/>
            </w:tcMar>
          </w:tcPr>
          <w:p w:rsidR="0044392D" w:rsidRPr="00DA4C4C" w:rsidRDefault="00DA4C4C">
            <w:pPr>
              <w:spacing w:after="0" w:line="240" w:lineRule="auto"/>
              <w:contextualSpacing/>
              <w:rPr>
                <w:lang w:val="en-US"/>
              </w:rPr>
            </w:pPr>
            <w:r>
              <w:rPr>
                <w:b/>
                <w:lang w:val="en-US"/>
              </w:rPr>
              <w:t xml:space="preserve">Protected cultivation </w:t>
            </w:r>
            <w:r>
              <w:rPr>
                <w:color w:val="1F497D"/>
                <w:lang w:val="en-GB"/>
              </w:rPr>
              <w:t>(different types of greenhouses, highly intensive)</w:t>
            </w:r>
          </w:p>
        </w:tc>
        <w:tc>
          <w:tcPr>
            <w:tcW w:w="3164" w:type="dxa"/>
            <w:gridSpan w:val="2"/>
            <w:tcMar>
              <w:left w:w="98" w:type="dxa"/>
            </w:tcMar>
          </w:tcPr>
          <w:p w:rsidR="0044392D" w:rsidRDefault="00DA4C4C">
            <w:pPr>
              <w:numPr>
                <w:ilvl w:val="0"/>
                <w:numId w:val="7"/>
              </w:numPr>
              <w:spacing w:after="0" w:line="240" w:lineRule="auto"/>
              <w:contextualSpacing/>
              <w:jc w:val="both"/>
              <w:rPr>
                <w:lang w:val="en-US"/>
              </w:rPr>
            </w:pPr>
            <w:r>
              <w:rPr>
                <w:lang w:val="en-US"/>
              </w:rPr>
              <w:t>Zuid Holland</w:t>
            </w:r>
          </w:p>
        </w:tc>
        <w:tc>
          <w:tcPr>
            <w:tcW w:w="3576" w:type="dxa"/>
            <w:tcMar>
              <w:left w:w="98" w:type="dxa"/>
            </w:tcMar>
          </w:tcPr>
          <w:p w:rsidR="0044392D" w:rsidRDefault="00DA4C4C">
            <w:pPr>
              <w:numPr>
                <w:ilvl w:val="0"/>
                <w:numId w:val="7"/>
              </w:numPr>
              <w:spacing w:after="0" w:line="240" w:lineRule="auto"/>
              <w:contextualSpacing/>
              <w:jc w:val="both"/>
              <w:rPr>
                <w:lang w:val="en-GB"/>
              </w:rPr>
            </w:pPr>
            <w:r>
              <w:rPr>
                <w:lang w:val="en-US"/>
              </w:rPr>
              <w:t>Central Macedonia</w:t>
            </w:r>
          </w:p>
          <w:p w:rsidR="0044392D" w:rsidRPr="00DA4C4C" w:rsidRDefault="00DA4C4C" w:rsidP="00DA4C4C">
            <w:pPr>
              <w:numPr>
                <w:ilvl w:val="0"/>
                <w:numId w:val="7"/>
              </w:numPr>
              <w:spacing w:after="0" w:line="240" w:lineRule="auto"/>
              <w:contextualSpacing/>
              <w:jc w:val="both"/>
              <w:rPr>
                <w:lang w:val="en-GB"/>
              </w:rPr>
            </w:pPr>
            <w:r>
              <w:rPr>
                <w:lang w:val="en-US"/>
              </w:rPr>
              <w:t>Tuscany</w:t>
            </w:r>
          </w:p>
        </w:tc>
      </w:tr>
    </w:tbl>
    <w:p w:rsidR="0044392D" w:rsidRDefault="0044392D">
      <w:pPr>
        <w:spacing w:after="120"/>
        <w:jc w:val="both"/>
        <w:rPr>
          <w:lang w:val="en-US"/>
        </w:rPr>
      </w:pPr>
    </w:p>
    <w:p w:rsidR="0044392D" w:rsidRDefault="00DA4C4C">
      <w:pPr>
        <w:pStyle w:val="ListParagraph"/>
        <w:numPr>
          <w:ilvl w:val="1"/>
          <w:numId w:val="4"/>
        </w:numPr>
        <w:rPr>
          <w:b/>
          <w:i/>
          <w:lang w:val="en-US"/>
        </w:rPr>
      </w:pPr>
      <w:r>
        <w:rPr>
          <w:b/>
          <w:i/>
          <w:lang w:val="en-US"/>
        </w:rPr>
        <w:t>Highlighting the strategic positioning of selected Value Chains</w:t>
      </w:r>
    </w:p>
    <w:p w:rsidR="0044392D" w:rsidRDefault="00DA4C4C">
      <w:pPr>
        <w:rPr>
          <w:lang w:val="en-US"/>
        </w:rPr>
      </w:pPr>
      <w:r>
        <w:rPr>
          <w:lang w:val="en-US"/>
        </w:rPr>
        <w:t>Each Region should provide some qualitative background information describing key assets (e.g. existing technology clusters; numbers of actors; strategic key players; etc.) and, possibly, also describing how the cooperation through the platform is relevant.</w:t>
      </w:r>
    </w:p>
    <w:p w:rsidR="0044392D" w:rsidRDefault="0044392D">
      <w:pPr>
        <w:rPr>
          <w:lang w:val="en-US"/>
        </w:rPr>
      </w:pPr>
    </w:p>
    <w:p w:rsidR="0044392D" w:rsidRDefault="00DA4C4C">
      <w:pPr>
        <w:pStyle w:val="ListParagraph"/>
        <w:numPr>
          <w:ilvl w:val="1"/>
          <w:numId w:val="4"/>
        </w:numPr>
        <w:rPr>
          <w:b/>
          <w:i/>
          <w:lang w:val="en-US"/>
        </w:rPr>
      </w:pPr>
      <w:r>
        <w:rPr>
          <w:b/>
          <w:i/>
          <w:lang w:val="en-US"/>
        </w:rPr>
        <w:t>Completing the mapping for each partner Region</w:t>
      </w:r>
    </w:p>
    <w:p w:rsidR="0044392D" w:rsidRPr="00DA4C4C" w:rsidRDefault="00DA4C4C">
      <w:pPr>
        <w:spacing w:after="0"/>
        <w:rPr>
          <w:lang w:val="en-US"/>
        </w:rPr>
      </w:pPr>
      <w:r>
        <w:rPr>
          <w:lang w:val="en-US"/>
        </w:rPr>
        <w:t>Each partner Region has to complete the cluster/actor analysis on the agreed value-chains in order to map existing competences/actors along them. In this preliminary phase it can be done by using internal expertise and knowledge, and adding some interviews with relevant stakeholders to:</w:t>
      </w:r>
    </w:p>
    <w:p w:rsidR="0044392D" w:rsidRDefault="00DA4C4C">
      <w:pPr>
        <w:spacing w:after="0"/>
        <w:rPr>
          <w:lang w:val="en-US"/>
        </w:rPr>
      </w:pPr>
      <w:r>
        <w:rPr>
          <w:lang w:val="en-US"/>
        </w:rPr>
        <w:t>• Identify additional actors</w:t>
      </w:r>
    </w:p>
    <w:p w:rsidR="0044392D" w:rsidRDefault="00DA4C4C">
      <w:pPr>
        <w:spacing w:after="0"/>
        <w:rPr>
          <w:lang w:val="en-US"/>
        </w:rPr>
      </w:pPr>
      <w:r>
        <w:rPr>
          <w:lang w:val="en-US"/>
        </w:rPr>
        <w:t>• Identify common challenges/problems encountered by end-users/companies</w:t>
      </w:r>
    </w:p>
    <w:p w:rsidR="0044392D" w:rsidRDefault="00DA4C4C">
      <w:pPr>
        <w:rPr>
          <w:lang w:val="en-US"/>
        </w:rPr>
      </w:pPr>
      <w:r>
        <w:rPr>
          <w:lang w:val="en-US"/>
        </w:rPr>
        <w:t>• Identifying farmers which are using/not using PF and why.</w:t>
      </w:r>
    </w:p>
    <w:p w:rsidR="0044392D" w:rsidRDefault="00DA4C4C">
      <w:pPr>
        <w:pStyle w:val="ListParagraph"/>
        <w:numPr>
          <w:ilvl w:val="1"/>
          <w:numId w:val="4"/>
        </w:numPr>
        <w:rPr>
          <w:b/>
          <w:i/>
          <w:lang w:val="en-US"/>
        </w:rPr>
      </w:pPr>
      <w:r>
        <w:rPr>
          <w:b/>
          <w:i/>
          <w:lang w:val="en-US"/>
        </w:rPr>
        <w:t>Exploration for Joint Programming</w:t>
      </w:r>
    </w:p>
    <w:p w:rsidR="0044392D" w:rsidRDefault="00DA4C4C">
      <w:pPr>
        <w:spacing w:after="0"/>
        <w:rPr>
          <w:lang w:val="en-US"/>
        </w:rPr>
      </w:pPr>
      <w:r>
        <w:rPr>
          <w:lang w:val="en-US"/>
        </w:rPr>
        <w:t>Co-leading and participating Regions are requested to provide further information concerning:</w:t>
      </w:r>
    </w:p>
    <w:p w:rsidR="0044392D" w:rsidRDefault="00DA4C4C">
      <w:pPr>
        <w:pStyle w:val="ListParagraph"/>
        <w:numPr>
          <w:ilvl w:val="0"/>
          <w:numId w:val="2"/>
        </w:numPr>
        <w:rPr>
          <w:lang w:val="en-US"/>
        </w:rPr>
      </w:pPr>
      <w:r>
        <w:rPr>
          <w:lang w:val="en-US"/>
        </w:rPr>
        <w:t>Existing programmes and tools that can be used for joint activities and funding in the area of High Tech Farming (e.g. specific allocated budget (no matter if EU, National or Regional); timing of existing calls; etc.);</w:t>
      </w:r>
    </w:p>
    <w:p w:rsidR="0044392D" w:rsidRDefault="00DA4C4C">
      <w:pPr>
        <w:pStyle w:val="ListParagraph"/>
        <w:numPr>
          <w:ilvl w:val="0"/>
          <w:numId w:val="2"/>
        </w:numPr>
        <w:ind w:left="714" w:hanging="357"/>
        <w:rPr>
          <w:lang w:val="en-US"/>
        </w:rPr>
      </w:pPr>
      <w:r>
        <w:rPr>
          <w:lang w:val="en-US"/>
        </w:rPr>
        <w:t>Available internal resources (human and financial) to actively participate to the platform.</w:t>
      </w:r>
    </w:p>
    <w:p w:rsidR="006D5F1F" w:rsidRPr="006D5F1F" w:rsidRDefault="006D5F1F" w:rsidP="006D5F1F">
      <w:pPr>
        <w:rPr>
          <w:lang w:val="en-US"/>
        </w:rPr>
      </w:pPr>
    </w:p>
    <w:p w:rsidR="006D5F1F" w:rsidRDefault="00DA4C4C" w:rsidP="006D5F1F">
      <w:pPr>
        <w:pStyle w:val="ListParagraph"/>
        <w:numPr>
          <w:ilvl w:val="0"/>
          <w:numId w:val="4"/>
        </w:numPr>
        <w:spacing w:before="240"/>
        <w:ind w:left="714" w:hanging="357"/>
        <w:contextualSpacing w:val="0"/>
        <w:rPr>
          <w:b/>
          <w:lang w:val="en-US"/>
        </w:rPr>
      </w:pPr>
      <w:r>
        <w:rPr>
          <w:b/>
          <w:lang w:val="en-US"/>
        </w:rPr>
        <w:t>STEP 2: Creating a pipeline of joint activities</w:t>
      </w:r>
    </w:p>
    <w:p w:rsidR="0044392D" w:rsidRDefault="00DA4C4C" w:rsidP="006D5F1F">
      <w:pPr>
        <w:pStyle w:val="ListParagraph"/>
        <w:numPr>
          <w:ilvl w:val="1"/>
          <w:numId w:val="4"/>
        </w:numPr>
        <w:ind w:left="1434" w:hanging="357"/>
        <w:contextualSpacing w:val="0"/>
        <w:rPr>
          <w:b/>
          <w:i/>
          <w:lang w:val="en-US"/>
        </w:rPr>
      </w:pPr>
      <w:r>
        <w:rPr>
          <w:b/>
          <w:i/>
          <w:lang w:val="en-US"/>
        </w:rPr>
        <w:t>Inception phase – short term agenda: 2017</w:t>
      </w:r>
    </w:p>
    <w:p w:rsidR="0044392D" w:rsidRDefault="00DA4C4C">
      <w:pPr>
        <w:spacing w:after="0"/>
        <w:rPr>
          <w:lang w:val="en-US"/>
        </w:rPr>
      </w:pPr>
      <w:r>
        <w:rPr>
          <w:lang w:val="en-US"/>
        </w:rPr>
        <w:t>Based on inputs from STEP 1, following activities will take place:</w:t>
      </w:r>
    </w:p>
    <w:p w:rsidR="006D5F1F" w:rsidRPr="006D5F1F" w:rsidRDefault="006D5F1F" w:rsidP="006D5F1F">
      <w:pPr>
        <w:pStyle w:val="ListParagraph"/>
        <w:numPr>
          <w:ilvl w:val="0"/>
          <w:numId w:val="5"/>
        </w:numPr>
        <w:spacing w:after="0"/>
        <w:rPr>
          <w:lang w:val="en-US"/>
        </w:rPr>
      </w:pPr>
      <w:r w:rsidRPr="006D5F1F">
        <w:rPr>
          <w:lang w:val="en-US"/>
        </w:rPr>
        <w:t>Analysis of the mapping exercise to identify complementarities and gaps (possibly by 1st Trimester 2017)</w:t>
      </w:r>
      <w:r>
        <w:rPr>
          <w:lang w:val="en-US"/>
        </w:rPr>
        <w:t xml:space="preserve"> </w:t>
      </w:r>
      <w:r w:rsidRPr="006D5F1F">
        <w:rPr>
          <w:color w:val="FF0000"/>
          <w:lang w:val="en-US"/>
        </w:rPr>
        <w:t>(</w:t>
      </w:r>
      <w:r>
        <w:rPr>
          <w:color w:val="FF0000"/>
          <w:lang w:val="en-US"/>
        </w:rPr>
        <w:t xml:space="preserve">Extremadura: </w:t>
      </w:r>
      <w:r w:rsidRPr="006D5F1F">
        <w:rPr>
          <w:color w:val="FF0000"/>
          <w:lang w:val="en-US"/>
        </w:rPr>
        <w:t>How is this analysis to be performed?  Is there any model available?)</w:t>
      </w:r>
    </w:p>
    <w:p w:rsidR="006D5F1F" w:rsidRPr="006D5F1F" w:rsidRDefault="006D5F1F" w:rsidP="006D5F1F">
      <w:pPr>
        <w:pStyle w:val="ListParagraph"/>
        <w:numPr>
          <w:ilvl w:val="0"/>
          <w:numId w:val="5"/>
        </w:numPr>
        <w:spacing w:after="0"/>
        <w:rPr>
          <w:lang w:val="en-US"/>
        </w:rPr>
      </w:pPr>
      <w:r w:rsidRPr="006D5F1F">
        <w:rPr>
          <w:lang w:val="en-US"/>
        </w:rPr>
        <w:t>Selecting and connecting Regions, actors and demo sites (by 2nd Trimester 2017)</w:t>
      </w:r>
      <w:r>
        <w:rPr>
          <w:lang w:val="en-US"/>
        </w:rPr>
        <w:t xml:space="preserve"> (</w:t>
      </w:r>
      <w:r w:rsidRPr="006D5F1F">
        <w:rPr>
          <w:color w:val="FF0000"/>
          <w:lang w:val="en-US"/>
        </w:rPr>
        <w:t>Extremadura: There will be joint meetings between the regions with complementary activities?</w:t>
      </w:r>
      <w:r>
        <w:rPr>
          <w:lang w:val="en-US"/>
        </w:rPr>
        <w:t>)</w:t>
      </w:r>
    </w:p>
    <w:p w:rsidR="0044392D" w:rsidRDefault="00DA4C4C">
      <w:pPr>
        <w:pStyle w:val="ListParagraph"/>
        <w:numPr>
          <w:ilvl w:val="0"/>
          <w:numId w:val="5"/>
        </w:numPr>
        <w:spacing w:after="0"/>
        <w:ind w:left="284" w:hanging="284"/>
        <w:rPr>
          <w:lang w:val="en-US"/>
        </w:rPr>
      </w:pPr>
      <w:r>
        <w:rPr>
          <w:lang w:val="en-US"/>
        </w:rPr>
        <w:t>Joint business oriented matchmaking (June 2017 – ERIAFF Conference or other possible EU Initiatives: DG AGRI matchmaking on Digitalization; Event in Portugal in October 2017)</w:t>
      </w:r>
    </w:p>
    <w:p w:rsidR="0044392D" w:rsidRDefault="00DA4C4C">
      <w:pPr>
        <w:pStyle w:val="ListParagraph"/>
        <w:numPr>
          <w:ilvl w:val="0"/>
          <w:numId w:val="5"/>
        </w:numPr>
        <w:spacing w:after="120"/>
        <w:ind w:left="284" w:hanging="284"/>
        <w:rPr>
          <w:lang w:val="en-US"/>
        </w:rPr>
      </w:pPr>
      <w:r>
        <w:rPr>
          <w:lang w:val="en-US"/>
        </w:rPr>
        <w:t>Develop joint call for proposals under EARDF/ERDF/ESF Operational Programmes (e.g. Operational Groups of the EIP AGRI) – end of 2017.</w:t>
      </w:r>
    </w:p>
    <w:p w:rsidR="006D5F1F" w:rsidRDefault="006D5F1F" w:rsidP="006D5F1F">
      <w:pPr>
        <w:pStyle w:val="ListParagraph"/>
        <w:spacing w:after="120"/>
        <w:ind w:left="284"/>
        <w:rPr>
          <w:lang w:val="en-US"/>
        </w:rPr>
      </w:pPr>
    </w:p>
    <w:p w:rsidR="0044392D" w:rsidRDefault="00DA4C4C">
      <w:pPr>
        <w:pStyle w:val="ListParagraph"/>
        <w:numPr>
          <w:ilvl w:val="1"/>
          <w:numId w:val="4"/>
        </w:numPr>
        <w:rPr>
          <w:b/>
          <w:i/>
          <w:lang w:val="en-US"/>
        </w:rPr>
      </w:pPr>
      <w:r>
        <w:rPr>
          <w:b/>
          <w:i/>
          <w:lang w:val="en-US"/>
        </w:rPr>
        <w:t>Longer term agenda</w:t>
      </w:r>
    </w:p>
    <w:p w:rsidR="0044392D" w:rsidRPr="00DA4C4C" w:rsidRDefault="00DA4C4C">
      <w:pPr>
        <w:rPr>
          <w:lang w:val="en-US"/>
        </w:rPr>
      </w:pPr>
      <w:r>
        <w:rPr>
          <w:lang w:val="en-US"/>
        </w:rPr>
        <w:t>This part of the activity will imply assessing possible cooperation under EU Programmes (INTERREG, Horizon 2020, etc.) and also specific activities for developing future Cohesion Policy and Research &amp; Development initiatives (post 2020 programming).</w:t>
      </w:r>
    </w:p>
    <w:sectPr w:rsidR="0044392D" w:rsidRPr="00DA4C4C">
      <w:headerReference w:type="even" r:id="rId10"/>
      <w:headerReference w:type="default" r:id="rId11"/>
      <w:footerReference w:type="even" r:id="rId12"/>
      <w:footerReference w:type="default" r:id="rId13"/>
      <w:headerReference w:type="first" r:id="rId14"/>
      <w:footerReference w:type="first" r:id="rId15"/>
      <w:pgSz w:w="11906" w:h="16838"/>
      <w:pgMar w:top="1702" w:right="1134" w:bottom="1276" w:left="1134" w:header="426"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D6" w:rsidRDefault="00DA4C4C">
      <w:pPr>
        <w:spacing w:after="0" w:line="240" w:lineRule="auto"/>
      </w:pPr>
      <w:r>
        <w:separator/>
      </w:r>
    </w:p>
  </w:endnote>
  <w:endnote w:type="continuationSeparator" w:id="0">
    <w:p w:rsidR="00BF36D6" w:rsidRDefault="00DA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52" w:rsidRDefault="00C47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D" w:rsidRDefault="00DA4C4C">
    <w:pPr>
      <w:pStyle w:val="Footer"/>
    </w:pPr>
    <w:r>
      <w:tab/>
      <w:t>-</w:t>
    </w:r>
    <w:r>
      <w:fldChar w:fldCharType="begin"/>
    </w:r>
    <w:r>
      <w:instrText>PAGE</w:instrText>
    </w:r>
    <w:r>
      <w:fldChar w:fldCharType="separate"/>
    </w:r>
    <w:r w:rsidR="001915A3">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52" w:rsidRDefault="00C4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2D" w:rsidRDefault="00DA4C4C">
      <w:r>
        <w:separator/>
      </w:r>
    </w:p>
  </w:footnote>
  <w:footnote w:type="continuationSeparator" w:id="0">
    <w:p w:rsidR="0044392D" w:rsidRDefault="00DA4C4C">
      <w:r>
        <w:continuationSeparator/>
      </w:r>
    </w:p>
  </w:footnote>
  <w:footnote w:id="1">
    <w:p w:rsidR="0044392D" w:rsidRDefault="00DA4C4C">
      <w:pPr>
        <w:pStyle w:val="FootnoteText"/>
      </w:pPr>
      <w:r>
        <w:rPr>
          <w:rStyle w:val="FootnoteReference"/>
          <w:sz w:val="18"/>
        </w:rPr>
        <w:footnoteRef/>
      </w:r>
      <w:r>
        <w:rPr>
          <w:rStyle w:val="FootnoteReference"/>
          <w:sz w:val="18"/>
        </w:rPr>
        <w:tab/>
      </w:r>
      <w:r>
        <w:rPr>
          <w:sz w:val="18"/>
        </w:rPr>
        <w:t xml:space="preserve"> </w:t>
      </w:r>
      <w:hyperlink r:id="rId1">
        <w:r>
          <w:rPr>
            <w:rStyle w:val="CollegamentoInternet"/>
            <w:sz w:val="18"/>
          </w:rPr>
          <w:t>http://www.europarl.europa.eu/RegData/etudes/STUD/2016/581892/EPRS_STU(2016)581892_EN.pdf</w:t>
        </w:r>
      </w:hyperlink>
      <w:r>
        <w:rPr>
          <w:sz w:val="18"/>
        </w:rPr>
        <w:t xml:space="preserve"> </w:t>
      </w:r>
    </w:p>
  </w:footnote>
  <w:footnote w:id="2">
    <w:p w:rsidR="0044392D" w:rsidRDefault="00DA4C4C">
      <w:pPr>
        <w:pStyle w:val="FootnoteText"/>
      </w:pPr>
      <w:r>
        <w:rPr>
          <w:rStyle w:val="FootnoteReference"/>
          <w:sz w:val="18"/>
        </w:rPr>
        <w:footnoteRef/>
      </w:r>
      <w:r>
        <w:rPr>
          <w:rStyle w:val="FootnoteReference"/>
          <w:sz w:val="18"/>
        </w:rPr>
        <w:tab/>
      </w:r>
      <w:r>
        <w:rPr>
          <w:sz w:val="18"/>
        </w:rPr>
        <w:t xml:space="preserve"> </w:t>
      </w:r>
      <w:hyperlink r:id="rId2">
        <w:r>
          <w:rPr>
            <w:rStyle w:val="CollegamentoInternet"/>
            <w:sz w:val="18"/>
          </w:rPr>
          <w:t>https://ec.europa.eu/eip/agriculture/sites/agri-eip/files/eip-agri_focus_group_on_precision_farming_final_report_2015.pdf</w:t>
        </w:r>
      </w:hyperlink>
      <w:r>
        <w:rPr>
          <w:sz w:val="18"/>
        </w:rPr>
        <w:t xml:space="preserve"> </w:t>
      </w:r>
    </w:p>
  </w:footnote>
  <w:footnote w:id="3">
    <w:p w:rsidR="0044392D" w:rsidRDefault="00DA4C4C">
      <w:pPr>
        <w:pStyle w:val="FootnoteText"/>
      </w:pPr>
      <w:r>
        <w:rPr>
          <w:rStyle w:val="FootnoteReference"/>
          <w:sz w:val="18"/>
        </w:rPr>
        <w:footnoteRef/>
      </w:r>
      <w:r>
        <w:rPr>
          <w:rStyle w:val="FootnoteReference"/>
          <w:sz w:val="18"/>
        </w:rPr>
        <w:tab/>
      </w:r>
      <w:r>
        <w:rPr>
          <w:sz w:val="18"/>
        </w:rPr>
        <w:t xml:space="preserve"> </w:t>
      </w:r>
      <w:hyperlink r:id="rId3">
        <w:r>
          <w:rPr>
            <w:rStyle w:val="CollegamentoInternet"/>
            <w:sz w:val="18"/>
          </w:rPr>
          <w:t>http://s3platform.jrc.ec.europa.eu/documents/20182/183310/Tuscany.pdf/70146a39-1909-47f9-aa4b-0de1b904fe41</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52" w:rsidRDefault="00C47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2D" w:rsidRDefault="00DA4C4C">
    <w:pPr>
      <w:jc w:val="center"/>
      <w:rPr>
        <w:b/>
        <w:smallCaps/>
        <w:lang w:val="en-US"/>
      </w:rPr>
    </w:pPr>
    <w:r>
      <w:rPr>
        <w:b/>
        <w:smallCaps/>
        <w:lang w:val="en-US"/>
      </w:rPr>
      <w:t>S3 AGROFOOD PLATFORM</w:t>
    </w:r>
  </w:p>
  <w:p w:rsidR="0044392D" w:rsidRDefault="00DA4C4C">
    <w:pPr>
      <w:pBdr>
        <w:top w:val="single" w:sz="4" w:space="1" w:color="00000A"/>
        <w:left w:val="single" w:sz="4" w:space="4" w:color="00000A"/>
        <w:bottom w:val="single" w:sz="4" w:space="1" w:color="00000A"/>
        <w:right w:val="single" w:sz="4" w:space="4" w:color="00000A"/>
      </w:pBdr>
      <w:jc w:val="center"/>
      <w:rPr>
        <w:smallCaps/>
        <w:lang w:val="en-US"/>
      </w:rPr>
    </w:pPr>
    <w:r>
      <w:rPr>
        <w:smallCaps/>
        <w:lang w:val="en-US"/>
      </w:rPr>
      <w:t>Scoping note on</w:t>
    </w:r>
    <w:r>
      <w:rPr>
        <w:sz w:val="28"/>
        <w:lang w:val="en-US"/>
      </w:rPr>
      <w:t xml:space="preserve"> </w:t>
    </w:r>
    <w:r>
      <w:rPr>
        <w:smallCaps/>
        <w:lang w:val="en-US"/>
      </w:rPr>
      <w:t>Sub-thematic area “High Technology Farming”</w:t>
    </w:r>
    <w:r>
      <w:rPr>
        <w:smallCaps/>
        <w:lang w:val="en-US"/>
      </w:rPr>
      <w:br/>
    </w:r>
    <w:r w:rsidR="00C47E52">
      <w:rPr>
        <w:smallCaps/>
        <w:color w:val="FF0000"/>
        <w:lang w:val="en-US"/>
      </w:rPr>
      <w:t>Draft 4</w:t>
    </w:r>
    <w:r w:rsidR="004C6E22">
      <w:rPr>
        <w:smallCaps/>
        <w:color w:val="FF0000"/>
        <w:lang w:val="en-US"/>
      </w:rPr>
      <w:t>.0 (01</w:t>
    </w:r>
    <w:r>
      <w:rPr>
        <w:smallCaps/>
        <w:color w:val="FF0000"/>
        <w:lang w:val="en-US"/>
      </w:rPr>
      <w:t>.0</w:t>
    </w:r>
    <w:r w:rsidR="004C6E22">
      <w:rPr>
        <w:smallCaps/>
        <w:color w:val="FF0000"/>
        <w:lang w:val="en-US"/>
      </w:rPr>
      <w:t>2</w:t>
    </w:r>
    <w:r>
      <w:rPr>
        <w:smallCaps/>
        <w:color w:val="FF0000"/>
        <w:lang w:val="en-US"/>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52" w:rsidRDefault="00C47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DB"/>
    <w:multiLevelType w:val="multilevel"/>
    <w:tmpl w:val="ECC84E5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EF06DB"/>
    <w:multiLevelType w:val="multilevel"/>
    <w:tmpl w:val="66147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F66331"/>
    <w:multiLevelType w:val="multilevel"/>
    <w:tmpl w:val="5A8AF4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7E53EA3"/>
    <w:multiLevelType w:val="multilevel"/>
    <w:tmpl w:val="77F429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252077"/>
    <w:multiLevelType w:val="multilevel"/>
    <w:tmpl w:val="68F4B5E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EE511E4"/>
    <w:multiLevelType w:val="multilevel"/>
    <w:tmpl w:val="F0FEC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5173F4"/>
    <w:multiLevelType w:val="multilevel"/>
    <w:tmpl w:val="35BA8438"/>
    <w:lvl w:ilvl="0">
      <w:start w:val="1"/>
      <w:numFmt w:val="bullet"/>
      <w:lvlText w:val=""/>
      <w:lvlJc w:val="left"/>
      <w:pPr>
        <w:ind w:left="360" w:hanging="360"/>
      </w:pPr>
      <w:rPr>
        <w:rFonts w:ascii="Wingdings" w:hAnsi="Wingdings" w:cs="Wingdings" w:hint="default"/>
        <w:sz w:val="20"/>
      </w:rPr>
    </w:lvl>
    <w:lvl w:ilvl="1">
      <w:start w:val="1"/>
      <w:numFmt w:val="bullet"/>
      <w:lvlText w:val=""/>
      <w:lvlJc w:val="left"/>
      <w:pPr>
        <w:ind w:left="720" w:hanging="360"/>
      </w:pPr>
      <w:rPr>
        <w:rFonts w:ascii="Wingdings" w:hAnsi="Wingdings" w:cs="Wingdings" w:hint="default"/>
        <w:sz w:val="20"/>
      </w:rPr>
    </w:lvl>
    <w:lvl w:ilvl="2">
      <w:start w:val="1"/>
      <w:numFmt w:val="bullet"/>
      <w:lvlText w:val=""/>
      <w:lvlJc w:val="left"/>
      <w:pPr>
        <w:ind w:left="1080" w:hanging="360"/>
      </w:pPr>
      <w:rPr>
        <w:rFonts w:ascii="Wingdings" w:hAnsi="Wingdings" w:cs="Wingdings" w:hint="default"/>
        <w:sz w:val="2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457B52C1"/>
    <w:multiLevelType w:val="multilevel"/>
    <w:tmpl w:val="F3A24CE2"/>
    <w:lvl w:ilvl="0">
      <w:start w:val="1"/>
      <w:numFmt w:val="bullet"/>
      <w:lvlText w:val=""/>
      <w:lvlJc w:val="left"/>
      <w:pPr>
        <w:ind w:left="360" w:hanging="360"/>
      </w:pPr>
      <w:rPr>
        <w:rFonts w:ascii="Wingdings" w:hAnsi="Wingdings" w:cs="Wingdings" w:hint="default"/>
        <w:sz w:val="20"/>
      </w:rPr>
    </w:lvl>
    <w:lvl w:ilvl="1">
      <w:start w:val="1"/>
      <w:numFmt w:val="bullet"/>
      <w:lvlText w:val=""/>
      <w:lvlJc w:val="left"/>
      <w:pPr>
        <w:ind w:left="720" w:hanging="360"/>
      </w:pPr>
      <w:rPr>
        <w:rFonts w:ascii="Wingdings" w:hAnsi="Wingdings" w:cs="Wingdings" w:hint="default"/>
        <w:sz w:val="20"/>
      </w:rPr>
    </w:lvl>
    <w:lvl w:ilvl="2">
      <w:start w:val="1"/>
      <w:numFmt w:val="bullet"/>
      <w:lvlText w:val=""/>
      <w:lvlJc w:val="left"/>
      <w:pPr>
        <w:ind w:left="1080" w:hanging="360"/>
      </w:pPr>
      <w:rPr>
        <w:rFonts w:ascii="Wingdings" w:hAnsi="Wingdings" w:cs="Wingdings" w:hint="default"/>
        <w:sz w:val="2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61EF564C"/>
    <w:multiLevelType w:val="multilevel"/>
    <w:tmpl w:val="D4A41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EF12701"/>
    <w:multiLevelType w:val="multilevel"/>
    <w:tmpl w:val="F198F0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4392D"/>
    <w:rsid w:val="001915A3"/>
    <w:rsid w:val="0044392D"/>
    <w:rsid w:val="004C6E22"/>
    <w:rsid w:val="0069593B"/>
    <w:rsid w:val="006D5F1F"/>
    <w:rsid w:val="00863BE4"/>
    <w:rsid w:val="00914745"/>
    <w:rsid w:val="00BF36D6"/>
    <w:rsid w:val="00C47E52"/>
    <w:rsid w:val="00DA4C4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unhideWhenUsed/>
    <w:rsid w:val="006D14A9"/>
    <w:rPr>
      <w:color w:val="0563C1" w:themeColor="hyperlink"/>
      <w:u w:val="single"/>
    </w:rPr>
  </w:style>
  <w:style w:type="character" w:styleId="FollowedHyperlink">
    <w:name w:val="FollowedHyperlink"/>
    <w:basedOn w:val="DefaultParagraphFont"/>
    <w:uiPriority w:val="99"/>
    <w:semiHidden/>
    <w:unhideWhenUsed/>
    <w:qFormat/>
    <w:rsid w:val="00175621"/>
    <w:rPr>
      <w:color w:val="954F72" w:themeColor="followedHyperlink"/>
      <w:u w:val="single"/>
    </w:rPr>
  </w:style>
  <w:style w:type="character" w:customStyle="1" w:styleId="FootnoteTextChar">
    <w:name w:val="Footnote Text Char"/>
    <w:basedOn w:val="DefaultParagraphFont"/>
    <w:link w:val="FootnoteText"/>
    <w:uiPriority w:val="99"/>
    <w:semiHidden/>
    <w:qFormat/>
    <w:rsid w:val="00571DE9"/>
    <w:rPr>
      <w:sz w:val="20"/>
      <w:szCs w:val="20"/>
    </w:rPr>
  </w:style>
  <w:style w:type="character" w:styleId="FootnoteReference">
    <w:name w:val="footnote reference"/>
    <w:basedOn w:val="DefaultParagraphFont"/>
    <w:uiPriority w:val="99"/>
    <w:semiHidden/>
    <w:unhideWhenUsed/>
    <w:qFormat/>
    <w:rsid w:val="00571DE9"/>
    <w:rPr>
      <w:vertAlign w:val="superscript"/>
    </w:rPr>
  </w:style>
  <w:style w:type="character" w:customStyle="1" w:styleId="BalloonTextChar">
    <w:name w:val="Balloon Text Char"/>
    <w:basedOn w:val="DefaultParagraphFont"/>
    <w:link w:val="BalloonText"/>
    <w:uiPriority w:val="99"/>
    <w:semiHidden/>
    <w:qFormat/>
    <w:rsid w:val="00571DE9"/>
    <w:rPr>
      <w:rFonts w:ascii="Tahoma" w:hAnsi="Tahoma" w:cs="Tahoma"/>
      <w:sz w:val="16"/>
      <w:szCs w:val="16"/>
    </w:rPr>
  </w:style>
  <w:style w:type="character" w:customStyle="1" w:styleId="HeaderChar">
    <w:name w:val="Header Char"/>
    <w:basedOn w:val="DefaultParagraphFont"/>
    <w:link w:val="Header"/>
    <w:uiPriority w:val="99"/>
    <w:qFormat/>
    <w:rsid w:val="00DF17A4"/>
  </w:style>
  <w:style w:type="character" w:customStyle="1" w:styleId="FooterChar">
    <w:name w:val="Footer Char"/>
    <w:basedOn w:val="DefaultParagraphFont"/>
    <w:link w:val="Footer"/>
    <w:uiPriority w:val="99"/>
    <w:qFormat/>
    <w:rsid w:val="00DF17A4"/>
  </w:style>
  <w:style w:type="character" w:customStyle="1" w:styleId="ListParagraphChar">
    <w:name w:val="List Paragraph Char"/>
    <w:basedOn w:val="DefaultParagraphFont"/>
    <w:link w:val="ListParagraph"/>
    <w:uiPriority w:val="99"/>
    <w:qFormat/>
    <w:rsid w:val="00D552A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Richiamoallanotaapidipagina">
    <w:name w:val="Richiamo alla nota a piè di pagina"/>
    <w:rPr>
      <w:vertAlign w:val="superscript"/>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Calibri" w:hAnsi="Calibri" w:cs="Wingdings"/>
      <w:sz w:val="20"/>
    </w:rPr>
  </w:style>
  <w:style w:type="character" w:customStyle="1" w:styleId="ListLabel74">
    <w:name w:val="ListLabel 74"/>
    <w:qFormat/>
    <w:rPr>
      <w:rFonts w:ascii="Calibri" w:hAnsi="Calibri" w:cs="Wingdings"/>
      <w:sz w:val="20"/>
    </w:rPr>
  </w:style>
  <w:style w:type="character" w:customStyle="1" w:styleId="ListLabel75">
    <w:name w:val="ListLabel 75"/>
    <w:qFormat/>
    <w:rPr>
      <w:rFonts w:ascii="Calibri" w:hAnsi="Calibri" w:cs="Wingdings"/>
      <w:sz w:val="20"/>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Wingdings"/>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0"/>
    </w:rPr>
  </w:style>
  <w:style w:type="character" w:customStyle="1" w:styleId="ListLabel128">
    <w:name w:val="ListLabel 128"/>
    <w:qFormat/>
    <w:rPr>
      <w:rFonts w:ascii="Calibri" w:hAnsi="Calibri" w:cs="Wingdings"/>
      <w:sz w:val="20"/>
    </w:rPr>
  </w:style>
  <w:style w:type="character" w:customStyle="1" w:styleId="ListLabel129">
    <w:name w:val="ListLabel 129"/>
    <w:qFormat/>
    <w:rPr>
      <w:rFonts w:ascii="Calibri" w:hAnsi="Calibri" w:cs="Wingdings"/>
      <w:sz w:val="20"/>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Symbo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ListParagraph">
    <w:name w:val="List Paragraph"/>
    <w:basedOn w:val="Normal"/>
    <w:link w:val="ListParagraphChar"/>
    <w:uiPriority w:val="99"/>
    <w:qFormat/>
    <w:rsid w:val="00CB7DB7"/>
    <w:pPr>
      <w:ind w:left="720"/>
      <w:contextualSpacing/>
    </w:p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571DE9"/>
    <w:pPr>
      <w:spacing w:after="0" w:line="240" w:lineRule="auto"/>
    </w:pPr>
    <w:rPr>
      <w:rFonts w:ascii="Tahoma" w:hAnsi="Tahoma" w:cs="Tahoma"/>
      <w:sz w:val="16"/>
      <w:szCs w:val="16"/>
    </w:rPr>
  </w:style>
  <w:style w:type="paragraph" w:styleId="Header">
    <w:name w:val="header"/>
    <w:basedOn w:val="Normal"/>
    <w:link w:val="HeaderChar"/>
    <w:uiPriority w:val="99"/>
    <w:unhideWhenUsed/>
    <w:rsid w:val="00DF17A4"/>
    <w:pPr>
      <w:tabs>
        <w:tab w:val="center" w:pos="4819"/>
        <w:tab w:val="right" w:pos="9638"/>
      </w:tabs>
      <w:spacing w:after="0" w:line="240" w:lineRule="auto"/>
    </w:pPr>
  </w:style>
  <w:style w:type="paragraph" w:styleId="Footer">
    <w:name w:val="footer"/>
    <w:basedOn w:val="Normal"/>
    <w:link w:val="FooterChar"/>
    <w:uiPriority w:val="99"/>
    <w:unhideWhenUsed/>
    <w:rsid w:val="00DF17A4"/>
    <w:pPr>
      <w:tabs>
        <w:tab w:val="center" w:pos="4819"/>
        <w:tab w:val="right" w:pos="9638"/>
      </w:tabs>
      <w:spacing w:after="0" w:line="240" w:lineRule="auto"/>
    </w:pPr>
  </w:style>
  <w:style w:type="table" w:styleId="TableGrid">
    <w:name w:val="Table Grid"/>
    <w:basedOn w:val="TableNormal"/>
    <w:uiPriority w:val="39"/>
    <w:rsid w:val="0043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552A7"/>
    <w:rPr>
      <w:lang w:val="nl-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unhideWhenUsed/>
    <w:rsid w:val="006D14A9"/>
    <w:rPr>
      <w:color w:val="0563C1" w:themeColor="hyperlink"/>
      <w:u w:val="single"/>
    </w:rPr>
  </w:style>
  <w:style w:type="character" w:styleId="FollowedHyperlink">
    <w:name w:val="FollowedHyperlink"/>
    <w:basedOn w:val="DefaultParagraphFont"/>
    <w:uiPriority w:val="99"/>
    <w:semiHidden/>
    <w:unhideWhenUsed/>
    <w:qFormat/>
    <w:rsid w:val="00175621"/>
    <w:rPr>
      <w:color w:val="954F72" w:themeColor="followedHyperlink"/>
      <w:u w:val="single"/>
    </w:rPr>
  </w:style>
  <w:style w:type="character" w:customStyle="1" w:styleId="FootnoteTextChar">
    <w:name w:val="Footnote Text Char"/>
    <w:basedOn w:val="DefaultParagraphFont"/>
    <w:link w:val="FootnoteText"/>
    <w:uiPriority w:val="99"/>
    <w:semiHidden/>
    <w:qFormat/>
    <w:rsid w:val="00571DE9"/>
    <w:rPr>
      <w:sz w:val="20"/>
      <w:szCs w:val="20"/>
    </w:rPr>
  </w:style>
  <w:style w:type="character" w:styleId="FootnoteReference">
    <w:name w:val="footnote reference"/>
    <w:basedOn w:val="DefaultParagraphFont"/>
    <w:uiPriority w:val="99"/>
    <w:semiHidden/>
    <w:unhideWhenUsed/>
    <w:qFormat/>
    <w:rsid w:val="00571DE9"/>
    <w:rPr>
      <w:vertAlign w:val="superscript"/>
    </w:rPr>
  </w:style>
  <w:style w:type="character" w:customStyle="1" w:styleId="BalloonTextChar">
    <w:name w:val="Balloon Text Char"/>
    <w:basedOn w:val="DefaultParagraphFont"/>
    <w:link w:val="BalloonText"/>
    <w:uiPriority w:val="99"/>
    <w:semiHidden/>
    <w:qFormat/>
    <w:rsid w:val="00571DE9"/>
    <w:rPr>
      <w:rFonts w:ascii="Tahoma" w:hAnsi="Tahoma" w:cs="Tahoma"/>
      <w:sz w:val="16"/>
      <w:szCs w:val="16"/>
    </w:rPr>
  </w:style>
  <w:style w:type="character" w:customStyle="1" w:styleId="HeaderChar">
    <w:name w:val="Header Char"/>
    <w:basedOn w:val="DefaultParagraphFont"/>
    <w:link w:val="Header"/>
    <w:uiPriority w:val="99"/>
    <w:qFormat/>
    <w:rsid w:val="00DF17A4"/>
  </w:style>
  <w:style w:type="character" w:customStyle="1" w:styleId="FooterChar">
    <w:name w:val="Footer Char"/>
    <w:basedOn w:val="DefaultParagraphFont"/>
    <w:link w:val="Footer"/>
    <w:uiPriority w:val="99"/>
    <w:qFormat/>
    <w:rsid w:val="00DF17A4"/>
  </w:style>
  <w:style w:type="character" w:customStyle="1" w:styleId="ListParagraphChar">
    <w:name w:val="List Paragraph Char"/>
    <w:basedOn w:val="DefaultParagraphFont"/>
    <w:link w:val="ListParagraph"/>
    <w:uiPriority w:val="99"/>
    <w:qFormat/>
    <w:rsid w:val="00D552A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Richiamoallanotaapidipagina">
    <w:name w:val="Richiamo alla nota a piè di pagina"/>
    <w:rPr>
      <w:vertAlign w:val="superscript"/>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Calibri" w:hAnsi="Calibri" w:cs="Wingdings"/>
      <w:sz w:val="20"/>
    </w:rPr>
  </w:style>
  <w:style w:type="character" w:customStyle="1" w:styleId="ListLabel74">
    <w:name w:val="ListLabel 74"/>
    <w:qFormat/>
    <w:rPr>
      <w:rFonts w:ascii="Calibri" w:hAnsi="Calibri" w:cs="Wingdings"/>
      <w:sz w:val="20"/>
    </w:rPr>
  </w:style>
  <w:style w:type="character" w:customStyle="1" w:styleId="ListLabel75">
    <w:name w:val="ListLabel 75"/>
    <w:qFormat/>
    <w:rPr>
      <w:rFonts w:ascii="Calibri" w:hAnsi="Calibri" w:cs="Wingdings"/>
      <w:sz w:val="20"/>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Wingdings"/>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libri" w:hAnsi="Calibri" w:cs="Wingdings"/>
      <w:sz w:val="20"/>
    </w:rPr>
  </w:style>
  <w:style w:type="character" w:customStyle="1" w:styleId="ListLabel128">
    <w:name w:val="ListLabel 128"/>
    <w:qFormat/>
    <w:rPr>
      <w:rFonts w:ascii="Calibri" w:hAnsi="Calibri" w:cs="Wingdings"/>
      <w:sz w:val="20"/>
    </w:rPr>
  </w:style>
  <w:style w:type="character" w:customStyle="1" w:styleId="ListLabel129">
    <w:name w:val="ListLabel 129"/>
    <w:qFormat/>
    <w:rPr>
      <w:rFonts w:ascii="Calibri" w:hAnsi="Calibri" w:cs="Wingdings"/>
      <w:sz w:val="20"/>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Symbo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styleId="ListParagraph">
    <w:name w:val="List Paragraph"/>
    <w:basedOn w:val="Normal"/>
    <w:link w:val="ListParagraphChar"/>
    <w:uiPriority w:val="99"/>
    <w:qFormat/>
    <w:rsid w:val="00CB7DB7"/>
    <w:pPr>
      <w:ind w:left="720"/>
      <w:contextualSpacing/>
    </w:p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571DE9"/>
    <w:pPr>
      <w:spacing w:after="0" w:line="240" w:lineRule="auto"/>
    </w:pPr>
    <w:rPr>
      <w:rFonts w:ascii="Tahoma" w:hAnsi="Tahoma" w:cs="Tahoma"/>
      <w:sz w:val="16"/>
      <w:szCs w:val="16"/>
    </w:rPr>
  </w:style>
  <w:style w:type="paragraph" w:styleId="Header">
    <w:name w:val="header"/>
    <w:basedOn w:val="Normal"/>
    <w:link w:val="HeaderChar"/>
    <w:uiPriority w:val="99"/>
    <w:unhideWhenUsed/>
    <w:rsid w:val="00DF17A4"/>
    <w:pPr>
      <w:tabs>
        <w:tab w:val="center" w:pos="4819"/>
        <w:tab w:val="right" w:pos="9638"/>
      </w:tabs>
      <w:spacing w:after="0" w:line="240" w:lineRule="auto"/>
    </w:pPr>
  </w:style>
  <w:style w:type="paragraph" w:styleId="Footer">
    <w:name w:val="footer"/>
    <w:basedOn w:val="Normal"/>
    <w:link w:val="FooterChar"/>
    <w:uiPriority w:val="99"/>
    <w:unhideWhenUsed/>
    <w:rsid w:val="00DF17A4"/>
    <w:pPr>
      <w:tabs>
        <w:tab w:val="center" w:pos="4819"/>
        <w:tab w:val="right" w:pos="9638"/>
      </w:tabs>
      <w:spacing w:after="0" w:line="240" w:lineRule="auto"/>
    </w:pPr>
  </w:style>
  <w:style w:type="table" w:styleId="TableGrid">
    <w:name w:val="Table Grid"/>
    <w:basedOn w:val="TableNormal"/>
    <w:uiPriority w:val="39"/>
    <w:rsid w:val="0043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552A7"/>
    <w:rPr>
      <w:lang w:val="nl-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3platform.jrc.ec.europa.eu/documents/20182/183310/Tuscany.pdf/70146a39-1909-47f9-aa4b-0de1b904fe41" TargetMode="External"/><Relationship Id="rId2" Type="http://schemas.openxmlformats.org/officeDocument/2006/relationships/hyperlink" Target="https://ec.europa.eu/eip/agriculture/sites/agri-eip/files/eip-agri_focus_group_on_precision_farming_final_report_2015.pdf" TargetMode="External"/><Relationship Id="rId1" Type="http://schemas.openxmlformats.org/officeDocument/2006/relationships/hyperlink" Target="http://www.europarl.europa.eu/RegData/etudes/STUD/2016/581892/EPRS_STU(2016)581892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C3F0-F513-4BBB-8734-840909E9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9212</Characters>
  <Application>Microsoft Office Word</Application>
  <DocSecurity>0</DocSecurity>
  <Lines>224</Lines>
  <Paragraphs>185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vieri</dc:creator>
  <cp:lastModifiedBy>GARCIA DOMINGUEZ Xenia (JRC-SEVILLA)</cp:lastModifiedBy>
  <cp:revision>2</cp:revision>
  <cp:lastPrinted>2016-11-18T12:03:00Z</cp:lastPrinted>
  <dcterms:created xsi:type="dcterms:W3CDTF">2021-02-22T19:13:00Z</dcterms:created>
  <dcterms:modified xsi:type="dcterms:W3CDTF">2021-02-22T19:13:00Z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