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C3" w:rsidRPr="005C5C41" w:rsidRDefault="007A029A" w:rsidP="0018559D">
      <w:pPr>
        <w:spacing w:after="0" w:line="276" w:lineRule="auto"/>
        <w:jc w:val="center"/>
        <w:rPr>
          <w:rFonts w:ascii="Times New Roman" w:hAnsi="Times New Roman" w:cs="Times New Roman"/>
          <w:b/>
          <w:sz w:val="32"/>
          <w:szCs w:val="32"/>
          <w:lang w:val="en-GB"/>
        </w:rPr>
      </w:pPr>
      <w:bookmarkStart w:id="0" w:name="_GoBack"/>
      <w:bookmarkEnd w:id="0"/>
      <w:r w:rsidRPr="005C5C41">
        <w:rPr>
          <w:rFonts w:ascii="Times New Roman" w:hAnsi="Times New Roman" w:cs="Times New Roman"/>
          <w:b/>
          <w:sz w:val="32"/>
          <w:szCs w:val="32"/>
          <w:lang w:val="en-GB"/>
        </w:rPr>
        <w:t xml:space="preserve">RIS3 in </w:t>
      </w:r>
      <w:r w:rsidR="00F52E2A" w:rsidRPr="005C5C41">
        <w:rPr>
          <w:rFonts w:ascii="Times New Roman" w:hAnsi="Times New Roman" w:cs="Times New Roman"/>
          <w:b/>
          <w:sz w:val="32"/>
          <w:szCs w:val="32"/>
          <w:lang w:val="en-GB"/>
        </w:rPr>
        <w:t>Estonia</w:t>
      </w:r>
    </w:p>
    <w:p w:rsidR="00F52E2A" w:rsidRPr="005C5C41" w:rsidRDefault="00F52E2A" w:rsidP="0018559D">
      <w:pPr>
        <w:spacing w:after="0" w:line="276" w:lineRule="auto"/>
        <w:jc w:val="center"/>
        <w:rPr>
          <w:rFonts w:ascii="Times New Roman" w:hAnsi="Times New Roman" w:cs="Times New Roman"/>
          <w:b/>
          <w:sz w:val="32"/>
          <w:szCs w:val="32"/>
          <w:lang w:val="en-GB"/>
        </w:rPr>
      </w:pPr>
    </w:p>
    <w:p w:rsidR="00F52E2A" w:rsidRPr="005C5C41" w:rsidRDefault="007A029A" w:rsidP="0018559D">
      <w:pPr>
        <w:spacing w:after="0" w:line="276" w:lineRule="auto"/>
        <w:rPr>
          <w:rFonts w:ascii="Times New Roman" w:hAnsi="Times New Roman" w:cs="Times New Roman"/>
          <w:b/>
          <w:sz w:val="24"/>
          <w:szCs w:val="24"/>
          <w:u w:val="single"/>
          <w:lang w:val="en-GB"/>
        </w:rPr>
      </w:pPr>
      <w:r w:rsidRPr="005C5C41">
        <w:rPr>
          <w:rFonts w:ascii="Times New Roman" w:hAnsi="Times New Roman" w:cs="Times New Roman"/>
          <w:b/>
          <w:sz w:val="24"/>
          <w:szCs w:val="24"/>
          <w:u w:val="single"/>
          <w:lang w:val="en-GB"/>
        </w:rPr>
        <w:t>Key facts</w:t>
      </w:r>
    </w:p>
    <w:p w:rsidR="005C5C41" w:rsidRPr="005C5C41" w:rsidRDefault="005C5C41" w:rsidP="0018559D">
      <w:pPr>
        <w:spacing w:after="0" w:line="276" w:lineRule="auto"/>
        <w:rPr>
          <w:rFonts w:ascii="Times New Roman" w:hAnsi="Times New Roman" w:cs="Times New Roman"/>
          <w:b/>
          <w:sz w:val="24"/>
          <w:szCs w:val="24"/>
          <w:u w:val="single"/>
          <w:lang w:val="en-GB"/>
        </w:rPr>
      </w:pPr>
    </w:p>
    <w:p w:rsidR="00F52E2A" w:rsidRPr="005C5C41" w:rsidRDefault="00F52E2A" w:rsidP="0018559D">
      <w:pPr>
        <w:pStyle w:val="NormalWeb"/>
        <w:spacing w:before="0" w:beforeAutospacing="0" w:after="0" w:afterAutospacing="0" w:line="276" w:lineRule="auto"/>
        <w:rPr>
          <w:lang w:val="en-GB"/>
        </w:rPr>
      </w:pPr>
      <w:r w:rsidRPr="005C5C41">
        <w:rPr>
          <w:rStyle w:val="Strong"/>
          <w:lang w:val="en-GB"/>
        </w:rPr>
        <w:t>Capital:</w:t>
      </w:r>
      <w:r w:rsidRPr="005C5C41">
        <w:rPr>
          <w:lang w:val="en-GB"/>
        </w:rPr>
        <w:t xml:space="preserve"> Tallinn </w:t>
      </w:r>
    </w:p>
    <w:p w:rsidR="00F52E2A" w:rsidRPr="005C5C41" w:rsidRDefault="00F52E2A" w:rsidP="0018559D">
      <w:pPr>
        <w:pStyle w:val="NormalWeb"/>
        <w:spacing w:before="0" w:beforeAutospacing="0" w:after="0" w:afterAutospacing="0" w:line="276" w:lineRule="auto"/>
        <w:rPr>
          <w:lang w:val="en-GB"/>
        </w:rPr>
      </w:pPr>
      <w:r w:rsidRPr="005C5C41">
        <w:rPr>
          <w:rStyle w:val="Strong"/>
          <w:lang w:val="en-GB"/>
        </w:rPr>
        <w:t>Size:</w:t>
      </w:r>
      <w:r w:rsidRPr="005C5C41">
        <w:rPr>
          <w:lang w:val="en-GB"/>
        </w:rPr>
        <w:t xml:space="preserve"> 45,227.0 km</w:t>
      </w:r>
      <w:r w:rsidRPr="005C5C41">
        <w:rPr>
          <w:vertAlign w:val="superscript"/>
          <w:lang w:val="en-GB"/>
        </w:rPr>
        <w:t>2</w:t>
      </w:r>
      <w:r w:rsidRPr="005C5C41">
        <w:rPr>
          <w:lang w:val="en-GB"/>
        </w:rPr>
        <w:t xml:space="preserve"> </w:t>
      </w:r>
    </w:p>
    <w:p w:rsidR="00F52E2A" w:rsidRPr="005C5C41" w:rsidRDefault="00F52E2A" w:rsidP="0018559D">
      <w:pPr>
        <w:pStyle w:val="NormalWeb"/>
        <w:spacing w:before="0" w:beforeAutospacing="0" w:after="0" w:afterAutospacing="0" w:line="276" w:lineRule="auto"/>
        <w:rPr>
          <w:lang w:val="en-GB"/>
        </w:rPr>
      </w:pPr>
      <w:r w:rsidRPr="005C5C41">
        <w:rPr>
          <w:rStyle w:val="Strong"/>
          <w:lang w:val="en-GB"/>
        </w:rPr>
        <w:t>Population:</w:t>
      </w:r>
      <w:r w:rsidRPr="005C5C41">
        <w:rPr>
          <w:lang w:val="en-GB"/>
        </w:rPr>
        <w:t xml:space="preserve"> 1.3 million </w:t>
      </w:r>
    </w:p>
    <w:p w:rsidR="00F52E2A" w:rsidRPr="005C5C41" w:rsidRDefault="00F52E2A" w:rsidP="0018559D">
      <w:pPr>
        <w:pStyle w:val="NormalWeb"/>
        <w:spacing w:before="0" w:beforeAutospacing="0" w:after="0" w:afterAutospacing="0" w:line="276" w:lineRule="auto"/>
        <w:rPr>
          <w:lang w:val="en-GB"/>
        </w:rPr>
      </w:pPr>
      <w:r w:rsidRPr="005C5C41">
        <w:rPr>
          <w:rStyle w:val="HTMLAcronym"/>
          <w:b/>
          <w:bCs/>
          <w:lang w:val="en-GB"/>
        </w:rPr>
        <w:t>GDP</w:t>
      </w:r>
      <w:r w:rsidRPr="005C5C41">
        <w:rPr>
          <w:rStyle w:val="Strong"/>
          <w:lang w:val="en-GB"/>
        </w:rPr>
        <w:t>:</w:t>
      </w:r>
      <w:r w:rsidRPr="005C5C41">
        <w:rPr>
          <w:lang w:val="en-GB"/>
        </w:rPr>
        <w:t xml:space="preserve"> EUR 21 billion </w:t>
      </w:r>
    </w:p>
    <w:p w:rsidR="00F52E2A" w:rsidRPr="005C5C41" w:rsidRDefault="00F52E2A" w:rsidP="0018559D">
      <w:pPr>
        <w:pStyle w:val="NormalWeb"/>
        <w:spacing w:before="0" w:beforeAutospacing="0" w:after="0" w:afterAutospacing="0" w:line="276" w:lineRule="auto"/>
        <w:rPr>
          <w:lang w:val="en-GB"/>
        </w:rPr>
      </w:pPr>
      <w:r w:rsidRPr="005C5C41">
        <w:rPr>
          <w:rStyle w:val="Strong"/>
          <w:lang w:val="en-GB"/>
        </w:rPr>
        <w:t>Unemployment rate:</w:t>
      </w:r>
      <w:r w:rsidRPr="005C5C41">
        <w:rPr>
          <w:lang w:val="en-GB"/>
        </w:rPr>
        <w:t xml:space="preserve"> 5.3%</w:t>
      </w:r>
    </w:p>
    <w:p w:rsidR="00514768" w:rsidRPr="005C5C41" w:rsidRDefault="00514768" w:rsidP="0018559D">
      <w:pPr>
        <w:pStyle w:val="NormalWeb"/>
        <w:spacing w:before="0" w:beforeAutospacing="0" w:after="0" w:afterAutospacing="0" w:line="276" w:lineRule="auto"/>
        <w:rPr>
          <w:lang w:val="en-GB"/>
        </w:rPr>
      </w:pPr>
    </w:p>
    <w:p w:rsidR="005C5C41" w:rsidRPr="005C5C41" w:rsidRDefault="005C5C41" w:rsidP="0018559D">
      <w:pPr>
        <w:pStyle w:val="NormalWeb"/>
        <w:spacing w:before="0" w:beforeAutospacing="0" w:after="0" w:afterAutospacing="0" w:line="276" w:lineRule="auto"/>
        <w:rPr>
          <w:b/>
          <w:u w:val="single"/>
          <w:lang w:val="en-GB"/>
        </w:rPr>
      </w:pPr>
      <w:r w:rsidRPr="005C5C41">
        <w:rPr>
          <w:b/>
          <w:u w:val="single"/>
          <w:lang w:val="en-GB"/>
        </w:rPr>
        <w:t>Economy</w:t>
      </w:r>
    </w:p>
    <w:p w:rsidR="005C5C41" w:rsidRPr="005C5C41" w:rsidRDefault="005C5C41" w:rsidP="0018559D">
      <w:pPr>
        <w:pStyle w:val="NormalWeb"/>
        <w:spacing w:before="0" w:beforeAutospacing="0" w:after="0" w:afterAutospacing="0" w:line="276" w:lineRule="auto"/>
        <w:rPr>
          <w:lang w:val="en-GB"/>
        </w:rPr>
      </w:pPr>
    </w:p>
    <w:p w:rsidR="00F52E2A" w:rsidRPr="005C5C41" w:rsidRDefault="00F52E2A" w:rsidP="0018559D">
      <w:pPr>
        <w:pStyle w:val="NormalWeb"/>
        <w:spacing w:before="0" w:beforeAutospacing="0" w:after="0" w:afterAutospacing="0" w:line="276" w:lineRule="auto"/>
        <w:rPr>
          <w:lang w:val="en-GB"/>
        </w:rPr>
      </w:pPr>
      <w:r w:rsidRPr="005C5C41">
        <w:rPr>
          <w:lang w:val="en-GB"/>
        </w:rPr>
        <w:t>Estonia is a smal</w:t>
      </w:r>
      <w:r w:rsidR="007A029A" w:rsidRPr="005C5C41">
        <w:rPr>
          <w:lang w:val="en-GB"/>
        </w:rPr>
        <w:t xml:space="preserve">l country, so for RIS3 the national level equals the </w:t>
      </w:r>
      <w:r w:rsidRPr="005C5C41">
        <w:rPr>
          <w:lang w:val="en-GB"/>
        </w:rPr>
        <w:t>regional</w:t>
      </w:r>
      <w:r w:rsidR="007A029A" w:rsidRPr="005C5C41">
        <w:rPr>
          <w:lang w:val="en-GB"/>
        </w:rPr>
        <w:t xml:space="preserve"> level</w:t>
      </w:r>
      <w:r w:rsidRPr="005C5C41">
        <w:rPr>
          <w:lang w:val="en-GB"/>
        </w:rPr>
        <w:t>.</w:t>
      </w:r>
    </w:p>
    <w:p w:rsidR="00F52E2A" w:rsidRPr="005C5C41" w:rsidRDefault="00F52E2A" w:rsidP="0018559D">
      <w:pPr>
        <w:pStyle w:val="NormalWeb"/>
        <w:spacing w:before="0" w:beforeAutospacing="0" w:after="0" w:afterAutospacing="0" w:line="276" w:lineRule="auto"/>
        <w:rPr>
          <w:lang w:val="en-GB"/>
        </w:rPr>
      </w:pPr>
      <w:r w:rsidRPr="005C5C41">
        <w:rPr>
          <w:lang w:val="en-GB"/>
        </w:rPr>
        <w:t>Estonian economy is diversified and open: in 2017, the exports of goods from Estonia amounted to 12.8 billion euros and imports to Estonia to 14.7 billion euros at current prices.</w:t>
      </w:r>
    </w:p>
    <w:p w:rsidR="005C5C41" w:rsidRPr="005C5C41" w:rsidRDefault="005C5C41" w:rsidP="0018559D">
      <w:pPr>
        <w:pStyle w:val="NormalWeb"/>
        <w:spacing w:before="0" w:beforeAutospacing="0" w:after="0" w:afterAutospacing="0" w:line="276" w:lineRule="auto"/>
        <w:rPr>
          <w:lang w:val="en-GB"/>
        </w:rPr>
      </w:pPr>
    </w:p>
    <w:p w:rsidR="00F52E2A" w:rsidRPr="005C5C41" w:rsidRDefault="00F52E2A" w:rsidP="0018559D">
      <w:pPr>
        <w:pStyle w:val="NormalWeb"/>
        <w:spacing w:before="0" w:beforeAutospacing="0" w:after="0" w:afterAutospacing="0" w:line="276" w:lineRule="auto"/>
        <w:rPr>
          <w:lang w:val="en-GB"/>
        </w:rPr>
      </w:pPr>
      <w:r w:rsidRPr="005C5C41">
        <w:rPr>
          <w:lang w:val="en-GB"/>
        </w:rPr>
        <w:t>The Estonian economy is dominated by SMEs in traditional sectors with</w:t>
      </w:r>
      <w:r w:rsidR="00D86038" w:rsidRPr="005C5C41">
        <w:rPr>
          <w:lang w:val="en-GB"/>
        </w:rPr>
        <w:t xml:space="preserve"> fairly</w:t>
      </w:r>
      <w:r w:rsidRPr="005C5C41">
        <w:rPr>
          <w:lang w:val="en-GB"/>
        </w:rPr>
        <w:t xml:space="preserve"> limited needs for R&amp;D. Investment in R&amp;D is concentrated in a few large companies. Business innovation is concentrated in a limited number of high-technology sectors, such as ICT, biotechnology, and financial and telecom services.</w:t>
      </w:r>
    </w:p>
    <w:p w:rsidR="00514768" w:rsidRPr="005C5C41" w:rsidRDefault="00514768" w:rsidP="0018559D">
      <w:pPr>
        <w:pStyle w:val="NormalWeb"/>
        <w:spacing w:before="0" w:beforeAutospacing="0" w:after="0" w:afterAutospacing="0" w:line="276" w:lineRule="auto"/>
        <w:rPr>
          <w:lang w:val="en-GB"/>
        </w:rPr>
      </w:pPr>
    </w:p>
    <w:p w:rsidR="007A029A" w:rsidRPr="005C5C41" w:rsidRDefault="007A029A" w:rsidP="0018559D">
      <w:pPr>
        <w:pStyle w:val="NormalWeb"/>
        <w:spacing w:before="0" w:beforeAutospacing="0" w:after="0" w:afterAutospacing="0" w:line="276" w:lineRule="auto"/>
        <w:rPr>
          <w:lang w:val="en-GB"/>
        </w:rPr>
      </w:pPr>
      <w:r w:rsidRPr="005C5C41">
        <w:rPr>
          <w:lang w:val="en-GB"/>
        </w:rPr>
        <w:t xml:space="preserve">Estonia produces the biggest number of startups and seed stage investments per capita in Europe. </w:t>
      </w:r>
      <w:r w:rsidR="005C5C41" w:rsidRPr="005C5C41">
        <w:rPr>
          <w:lang w:val="en-GB"/>
        </w:rPr>
        <w:t>A</w:t>
      </w:r>
      <w:r w:rsidRPr="005C5C41">
        <w:rPr>
          <w:lang w:val="en-GB"/>
        </w:rPr>
        <w:t xml:space="preserve"> significant amount of business investment in innovation </w:t>
      </w:r>
      <w:r w:rsidR="00D86038" w:rsidRPr="005C5C41">
        <w:rPr>
          <w:lang w:val="en-GB"/>
        </w:rPr>
        <w:t xml:space="preserve">is </w:t>
      </w:r>
      <w:r w:rsidRPr="005C5C41">
        <w:rPr>
          <w:lang w:val="en-GB"/>
        </w:rPr>
        <w:t xml:space="preserve">conducted by startups </w:t>
      </w:r>
      <w:r w:rsidR="00D86038" w:rsidRPr="005C5C41">
        <w:rPr>
          <w:lang w:val="en-GB"/>
        </w:rPr>
        <w:t xml:space="preserve">and </w:t>
      </w:r>
      <w:r w:rsidRPr="005C5C41">
        <w:rPr>
          <w:lang w:val="en-GB"/>
        </w:rPr>
        <w:t xml:space="preserve">not captured in R&amp;I statistics. </w:t>
      </w:r>
    </w:p>
    <w:p w:rsidR="00514768" w:rsidRPr="005C5C41" w:rsidRDefault="00514768" w:rsidP="0018559D">
      <w:pPr>
        <w:pStyle w:val="NormalWeb"/>
        <w:spacing w:before="0" w:beforeAutospacing="0" w:after="0" w:afterAutospacing="0" w:line="276" w:lineRule="auto"/>
        <w:rPr>
          <w:lang w:val="en-GB"/>
        </w:rPr>
      </w:pPr>
    </w:p>
    <w:p w:rsidR="007A029A" w:rsidRPr="005C5C41" w:rsidRDefault="007A029A" w:rsidP="0018559D">
      <w:pPr>
        <w:pStyle w:val="NormalWeb"/>
        <w:spacing w:before="0" w:beforeAutospacing="0" w:after="0" w:afterAutospacing="0" w:line="276" w:lineRule="auto"/>
        <w:rPr>
          <w:lang w:val="en-GB"/>
        </w:rPr>
      </w:pPr>
      <w:r w:rsidRPr="005C5C41">
        <w:rPr>
          <w:lang w:val="en-GB"/>
        </w:rPr>
        <w:t xml:space="preserve">Estonia is known for its widespread and free Wi-Fi connections, its commitment to e-government, building its future IT skills base and other </w:t>
      </w:r>
      <w:r w:rsidR="005C5C41" w:rsidRPr="005C5C41">
        <w:rPr>
          <w:lang w:val="en-GB"/>
        </w:rPr>
        <w:t>e-</w:t>
      </w:r>
      <w:r w:rsidRPr="005C5C41">
        <w:rPr>
          <w:lang w:val="en-GB"/>
        </w:rPr>
        <w:t>services.</w:t>
      </w:r>
    </w:p>
    <w:p w:rsidR="00514768" w:rsidRDefault="00514768" w:rsidP="0018559D">
      <w:pPr>
        <w:pStyle w:val="NormalWeb"/>
        <w:spacing w:before="0" w:beforeAutospacing="0" w:after="0" w:afterAutospacing="0" w:line="276" w:lineRule="auto"/>
        <w:rPr>
          <w:lang w:val="en-GB"/>
        </w:rPr>
      </w:pPr>
    </w:p>
    <w:p w:rsidR="0018559D" w:rsidRPr="0018559D" w:rsidRDefault="0018559D" w:rsidP="0018559D">
      <w:pPr>
        <w:pStyle w:val="NormalWeb"/>
        <w:spacing w:before="0" w:beforeAutospacing="0" w:after="0" w:afterAutospacing="0" w:line="276" w:lineRule="auto"/>
        <w:rPr>
          <w:b/>
          <w:u w:val="single"/>
          <w:lang w:val="en-GB"/>
        </w:rPr>
      </w:pPr>
      <w:r w:rsidRPr="0018559D">
        <w:rPr>
          <w:b/>
          <w:u w:val="single"/>
          <w:lang w:val="en-GB"/>
        </w:rPr>
        <w:t xml:space="preserve">Research &amp; </w:t>
      </w:r>
      <w:r>
        <w:rPr>
          <w:b/>
          <w:u w:val="single"/>
          <w:lang w:val="en-GB"/>
        </w:rPr>
        <w:t>Development</w:t>
      </w:r>
      <w:r>
        <w:rPr>
          <w:rStyle w:val="FootnoteReference"/>
          <w:b/>
          <w:u w:val="single"/>
          <w:lang w:val="en-GB"/>
        </w:rPr>
        <w:footnoteReference w:id="1"/>
      </w:r>
    </w:p>
    <w:p w:rsidR="0018559D" w:rsidRDefault="0018559D" w:rsidP="0018559D">
      <w:pPr>
        <w:pStyle w:val="NormalWeb"/>
        <w:spacing w:before="0" w:beforeAutospacing="0" w:after="0" w:afterAutospacing="0" w:line="276" w:lineRule="auto"/>
        <w:rPr>
          <w:lang w:val="en-GB"/>
        </w:rPr>
      </w:pPr>
    </w:p>
    <w:p w:rsidR="0018559D" w:rsidRDefault="0018559D" w:rsidP="0018559D">
      <w:pPr>
        <w:pStyle w:val="NormalWeb"/>
        <w:spacing w:before="0" w:beforeAutospacing="0" w:after="0" w:afterAutospacing="0" w:line="276" w:lineRule="auto"/>
        <w:rPr>
          <w:lang w:val="en-GB"/>
        </w:rPr>
      </w:pPr>
      <w:r w:rsidRPr="0018559D">
        <w:rPr>
          <w:lang w:val="en-GB"/>
        </w:rPr>
        <w:t>The structure and basis of operation of Estonia’s research and development (R&amp;D) system are established in the Research and Development Organisation Act (RDOA).</w:t>
      </w:r>
      <w:r>
        <w:rPr>
          <w:lang w:val="en-GB"/>
        </w:rPr>
        <w:t xml:space="preserve"> </w:t>
      </w:r>
    </w:p>
    <w:p w:rsidR="0018559D" w:rsidRPr="0018559D" w:rsidRDefault="0018559D" w:rsidP="0018559D">
      <w:pPr>
        <w:pStyle w:val="NormalWeb"/>
        <w:spacing w:before="0" w:beforeAutospacing="0" w:after="0" w:afterAutospacing="0" w:line="276" w:lineRule="auto"/>
        <w:rPr>
          <w:lang w:val="en-GB"/>
        </w:rPr>
      </w:pPr>
    </w:p>
    <w:p w:rsidR="0018559D" w:rsidRPr="0018559D" w:rsidRDefault="0018559D" w:rsidP="0018559D">
      <w:pPr>
        <w:pStyle w:val="NormalWeb"/>
        <w:spacing w:before="0" w:beforeAutospacing="0" w:after="0" w:afterAutospacing="0" w:line="276" w:lineRule="auto"/>
        <w:rPr>
          <w:lang w:val="en-GB"/>
        </w:rPr>
      </w:pPr>
      <w:r w:rsidRPr="0018559D">
        <w:rPr>
          <w:lang w:val="en-GB"/>
        </w:rPr>
        <w:t>The Government of the Republic:</w:t>
      </w:r>
    </w:p>
    <w:p w:rsidR="0018559D" w:rsidRPr="0018559D" w:rsidRDefault="0018559D" w:rsidP="0018559D">
      <w:pPr>
        <w:pStyle w:val="NormalWeb"/>
        <w:numPr>
          <w:ilvl w:val="0"/>
          <w:numId w:val="5"/>
        </w:numPr>
        <w:spacing w:before="0" w:beforeAutospacing="0" w:after="0" w:afterAutospacing="0" w:line="276" w:lineRule="auto"/>
        <w:rPr>
          <w:lang w:val="en-GB"/>
        </w:rPr>
      </w:pPr>
      <w:r w:rsidRPr="0018559D">
        <w:rPr>
          <w:lang w:val="en-GB"/>
        </w:rPr>
        <w:t>prepares national R&amp;D development plans;</w:t>
      </w:r>
    </w:p>
    <w:p w:rsidR="0018559D" w:rsidRPr="0018559D" w:rsidRDefault="0018559D" w:rsidP="0018559D">
      <w:pPr>
        <w:pStyle w:val="NormalWeb"/>
        <w:numPr>
          <w:ilvl w:val="0"/>
          <w:numId w:val="5"/>
        </w:numPr>
        <w:spacing w:before="0" w:beforeAutospacing="0" w:after="0" w:afterAutospacing="0" w:line="276" w:lineRule="auto"/>
        <w:rPr>
          <w:lang w:val="en-GB"/>
        </w:rPr>
      </w:pPr>
      <w:r w:rsidRPr="0018559D">
        <w:rPr>
          <w:lang w:val="en-GB"/>
        </w:rPr>
        <w:t>submits them to the Riigikogu (parliament):</w:t>
      </w:r>
    </w:p>
    <w:p w:rsidR="0018559D" w:rsidRPr="0018559D" w:rsidRDefault="0018559D" w:rsidP="0018559D">
      <w:pPr>
        <w:pStyle w:val="NormalWeb"/>
        <w:numPr>
          <w:ilvl w:val="0"/>
          <w:numId w:val="5"/>
        </w:numPr>
        <w:spacing w:before="0" w:beforeAutospacing="0" w:after="0" w:afterAutospacing="0" w:line="276" w:lineRule="auto"/>
        <w:rPr>
          <w:lang w:val="en-GB"/>
        </w:rPr>
      </w:pPr>
      <w:r w:rsidRPr="0018559D">
        <w:rPr>
          <w:lang w:val="en-GB"/>
        </w:rPr>
        <w:t>approves national R&amp;D programmes;</w:t>
      </w:r>
    </w:p>
    <w:p w:rsidR="0018559D" w:rsidRPr="0018559D" w:rsidRDefault="0018559D" w:rsidP="0018559D">
      <w:pPr>
        <w:pStyle w:val="NormalWeb"/>
        <w:numPr>
          <w:ilvl w:val="0"/>
          <w:numId w:val="5"/>
        </w:numPr>
        <w:spacing w:before="0" w:beforeAutospacing="0" w:after="0" w:afterAutospacing="0" w:line="276" w:lineRule="auto"/>
        <w:rPr>
          <w:lang w:val="en-GB"/>
        </w:rPr>
      </w:pPr>
      <w:r w:rsidRPr="0018559D">
        <w:rPr>
          <w:lang w:val="en-GB"/>
        </w:rPr>
        <w:t>ensures the cooperation between the ministries and enacts legislation.</w:t>
      </w:r>
    </w:p>
    <w:p w:rsidR="0018559D" w:rsidRPr="0018559D" w:rsidRDefault="0018559D" w:rsidP="0018559D">
      <w:pPr>
        <w:pStyle w:val="NormalWeb"/>
        <w:spacing w:before="0" w:beforeAutospacing="0" w:after="0" w:afterAutospacing="0" w:line="276" w:lineRule="auto"/>
        <w:rPr>
          <w:lang w:val="en-GB"/>
        </w:rPr>
      </w:pPr>
    </w:p>
    <w:p w:rsidR="0018559D" w:rsidRPr="0018559D" w:rsidRDefault="0018559D" w:rsidP="0018559D">
      <w:pPr>
        <w:pStyle w:val="NormalWeb"/>
        <w:spacing w:before="0" w:beforeAutospacing="0" w:after="0" w:afterAutospacing="0" w:line="276" w:lineRule="auto"/>
        <w:rPr>
          <w:lang w:val="en-GB"/>
        </w:rPr>
      </w:pPr>
      <w:r w:rsidRPr="0018559D">
        <w:rPr>
          <w:lang w:val="en-GB"/>
        </w:rPr>
        <w:t xml:space="preserve">The </w:t>
      </w:r>
      <w:r w:rsidRPr="0018559D">
        <w:rPr>
          <w:i/>
          <w:lang w:val="en-GB"/>
        </w:rPr>
        <w:t>Research and Development Council</w:t>
      </w:r>
      <w:r w:rsidRPr="0018559D">
        <w:rPr>
          <w:lang w:val="en-GB"/>
        </w:rPr>
        <w:t xml:space="preserve"> advises the Government of the Republic on matters related to R&amp;D.</w:t>
      </w:r>
    </w:p>
    <w:p w:rsidR="0018559D" w:rsidRPr="0018559D" w:rsidRDefault="0018559D" w:rsidP="0018559D">
      <w:pPr>
        <w:pStyle w:val="NormalWeb"/>
        <w:spacing w:before="0" w:beforeAutospacing="0" w:after="0" w:afterAutospacing="0" w:line="276" w:lineRule="auto"/>
        <w:rPr>
          <w:lang w:val="en-GB"/>
        </w:rPr>
      </w:pPr>
    </w:p>
    <w:p w:rsidR="0018559D" w:rsidRPr="0018559D" w:rsidRDefault="0018559D" w:rsidP="0018559D">
      <w:pPr>
        <w:pStyle w:val="NormalWeb"/>
        <w:spacing w:before="0" w:beforeAutospacing="0" w:after="0" w:afterAutospacing="0" w:line="276" w:lineRule="auto"/>
        <w:rPr>
          <w:lang w:val="en-GB"/>
        </w:rPr>
      </w:pPr>
      <w:r w:rsidRPr="0018559D">
        <w:rPr>
          <w:lang w:val="en-GB"/>
        </w:rPr>
        <w:t xml:space="preserve">The </w:t>
      </w:r>
      <w:r w:rsidRPr="0018559D">
        <w:rPr>
          <w:i/>
          <w:lang w:val="en-GB"/>
        </w:rPr>
        <w:t>Ministry of Education and Research</w:t>
      </w:r>
      <w:r w:rsidRPr="0018559D">
        <w:rPr>
          <w:lang w:val="en-GB"/>
        </w:rPr>
        <w:t xml:space="preserve"> implements national research policy, organizes the financing and evaluation of the activities of R&amp;D institutions and coordinates international research cooperation at the national level. The Ministry is also responsible for the planning, coordination, execution and monitoring of research policy related to the activities of universities and research institutes.</w:t>
      </w:r>
    </w:p>
    <w:p w:rsidR="0018559D" w:rsidRPr="0018559D" w:rsidRDefault="0018559D" w:rsidP="0018559D">
      <w:pPr>
        <w:pStyle w:val="NormalWeb"/>
        <w:spacing w:before="0" w:beforeAutospacing="0" w:after="0" w:afterAutospacing="0" w:line="276" w:lineRule="auto"/>
        <w:rPr>
          <w:lang w:val="en-GB"/>
        </w:rPr>
      </w:pPr>
    </w:p>
    <w:p w:rsidR="0018559D" w:rsidRPr="0018559D" w:rsidRDefault="0018559D" w:rsidP="0018559D">
      <w:pPr>
        <w:pStyle w:val="NormalWeb"/>
        <w:spacing w:before="0" w:beforeAutospacing="0" w:after="0" w:afterAutospacing="0" w:line="276" w:lineRule="auto"/>
        <w:rPr>
          <w:lang w:val="en-GB"/>
        </w:rPr>
      </w:pPr>
      <w:r w:rsidRPr="0018559D">
        <w:rPr>
          <w:lang w:val="en-GB"/>
        </w:rPr>
        <w:t xml:space="preserve">The Minister of Education and Research is advised by the </w:t>
      </w:r>
      <w:r w:rsidRPr="0018559D">
        <w:rPr>
          <w:i/>
          <w:lang w:val="en-GB"/>
        </w:rPr>
        <w:t>Research Policy Committee</w:t>
      </w:r>
      <w:r w:rsidRPr="0018559D">
        <w:rPr>
          <w:lang w:val="en-GB"/>
        </w:rPr>
        <w:t>.</w:t>
      </w:r>
    </w:p>
    <w:p w:rsidR="0018559D" w:rsidRPr="0018559D" w:rsidRDefault="0018559D" w:rsidP="0018559D">
      <w:pPr>
        <w:pStyle w:val="NormalWeb"/>
        <w:spacing w:before="0" w:beforeAutospacing="0" w:after="0" w:afterAutospacing="0" w:line="276" w:lineRule="auto"/>
        <w:rPr>
          <w:lang w:val="en-GB"/>
        </w:rPr>
      </w:pPr>
    </w:p>
    <w:p w:rsidR="0018559D" w:rsidRDefault="0018559D" w:rsidP="0018559D">
      <w:pPr>
        <w:pStyle w:val="NormalWeb"/>
        <w:spacing w:before="0" w:beforeAutospacing="0" w:after="0" w:afterAutospacing="0" w:line="276" w:lineRule="auto"/>
        <w:rPr>
          <w:lang w:val="en-GB"/>
        </w:rPr>
      </w:pPr>
      <w:r w:rsidRPr="0018559D">
        <w:rPr>
          <w:lang w:val="en-GB"/>
        </w:rPr>
        <w:t xml:space="preserve">The </w:t>
      </w:r>
      <w:r w:rsidRPr="0018559D">
        <w:rPr>
          <w:i/>
          <w:lang w:val="en-GB"/>
        </w:rPr>
        <w:t>Ministry of Economic Affairs and Communications</w:t>
      </w:r>
      <w:r w:rsidRPr="0018559D">
        <w:rPr>
          <w:lang w:val="en-GB"/>
        </w:rPr>
        <w:t xml:space="preserve"> is responsible for planning, coordinating and executing research and development activities and innovation policy related to business.</w:t>
      </w:r>
    </w:p>
    <w:p w:rsidR="0018559D" w:rsidRDefault="0018559D" w:rsidP="0018559D">
      <w:pPr>
        <w:pStyle w:val="NormalWeb"/>
        <w:spacing w:before="0" w:beforeAutospacing="0" w:after="0" w:afterAutospacing="0" w:line="276" w:lineRule="auto"/>
        <w:rPr>
          <w:lang w:val="en-GB"/>
        </w:rPr>
      </w:pPr>
    </w:p>
    <w:p w:rsidR="0018559D" w:rsidRDefault="0018559D" w:rsidP="0018559D">
      <w:pPr>
        <w:pStyle w:val="NormalWeb"/>
        <w:spacing w:before="0" w:beforeAutospacing="0" w:after="0" w:afterAutospacing="0" w:line="276" w:lineRule="auto"/>
        <w:rPr>
          <w:lang w:val="en-GB"/>
        </w:rPr>
      </w:pPr>
      <w:r w:rsidRPr="0018559D">
        <w:rPr>
          <w:i/>
          <w:lang w:val="en-GB"/>
        </w:rPr>
        <w:t>Estonian Research Council</w:t>
      </w:r>
      <w:r w:rsidRPr="0018559D">
        <w:rPr>
          <w:lang w:val="en-GB"/>
        </w:rPr>
        <w:t xml:space="preserve"> is the main research funding agency for Estonian research and is responsible for institutional and personal research funding in Estonia and providing support for participation in Horizon2020 and other EU programs.</w:t>
      </w:r>
    </w:p>
    <w:p w:rsidR="0018559D" w:rsidRPr="005C5C41" w:rsidRDefault="0018559D" w:rsidP="0018559D">
      <w:pPr>
        <w:pStyle w:val="NormalWeb"/>
        <w:spacing w:before="0" w:beforeAutospacing="0" w:after="0" w:afterAutospacing="0" w:line="276" w:lineRule="auto"/>
        <w:rPr>
          <w:lang w:val="en-GB"/>
        </w:rPr>
      </w:pPr>
    </w:p>
    <w:p w:rsidR="005C5C41" w:rsidRPr="005C5C41" w:rsidRDefault="005C5C41" w:rsidP="0018559D">
      <w:pPr>
        <w:pStyle w:val="NormalWeb"/>
        <w:spacing w:before="0" w:beforeAutospacing="0" w:after="0" w:afterAutospacing="0" w:line="276" w:lineRule="auto"/>
        <w:rPr>
          <w:b/>
          <w:u w:val="single"/>
          <w:lang w:val="en-GB"/>
        </w:rPr>
      </w:pPr>
      <w:r w:rsidRPr="005C5C41">
        <w:rPr>
          <w:b/>
          <w:u w:val="single"/>
          <w:lang w:val="en-GB"/>
        </w:rPr>
        <w:t>Priority Areas</w:t>
      </w:r>
    </w:p>
    <w:p w:rsidR="005C5C41" w:rsidRPr="005C5C41" w:rsidRDefault="005C5C41" w:rsidP="0018559D">
      <w:pPr>
        <w:pStyle w:val="NormalWeb"/>
        <w:spacing w:before="0" w:beforeAutospacing="0" w:after="0" w:afterAutospacing="0" w:line="276" w:lineRule="auto"/>
        <w:rPr>
          <w:lang w:val="en-GB"/>
        </w:rPr>
      </w:pPr>
    </w:p>
    <w:p w:rsidR="00F52E2A" w:rsidRPr="005C5C41" w:rsidRDefault="00F52E2A" w:rsidP="0018559D">
      <w:pPr>
        <w:pStyle w:val="NormalWeb"/>
        <w:spacing w:before="0" w:beforeAutospacing="0" w:after="0" w:afterAutospacing="0" w:line="276" w:lineRule="auto"/>
        <w:rPr>
          <w:lang w:val="en-GB"/>
        </w:rPr>
      </w:pPr>
      <w:r w:rsidRPr="005C5C41">
        <w:rPr>
          <w:lang w:val="en-GB"/>
        </w:rPr>
        <w:t xml:space="preserve">As part of RIS3 processes, three wide growth areas have been </w:t>
      </w:r>
      <w:r w:rsidR="005C5C41" w:rsidRPr="005C5C41">
        <w:rPr>
          <w:lang w:val="en-GB"/>
        </w:rPr>
        <w:t>selected</w:t>
      </w:r>
      <w:r w:rsidRPr="005C5C41">
        <w:rPr>
          <w:lang w:val="en-GB"/>
        </w:rPr>
        <w:t>:</w:t>
      </w:r>
    </w:p>
    <w:p w:rsidR="00F52E2A" w:rsidRPr="005C5C41" w:rsidRDefault="00F52E2A" w:rsidP="0018559D">
      <w:pPr>
        <w:pStyle w:val="NormalWeb"/>
        <w:numPr>
          <w:ilvl w:val="0"/>
          <w:numId w:val="1"/>
        </w:numPr>
        <w:spacing w:before="0" w:beforeAutospacing="0" w:after="0" w:afterAutospacing="0" w:line="276" w:lineRule="auto"/>
        <w:rPr>
          <w:lang w:val="en-GB"/>
        </w:rPr>
      </w:pPr>
      <w:r w:rsidRPr="005C5C41">
        <w:rPr>
          <w:lang w:val="en-GB"/>
        </w:rPr>
        <w:t>ICT horizontally through the economy</w:t>
      </w:r>
    </w:p>
    <w:p w:rsidR="00F52E2A" w:rsidRPr="005C5C41" w:rsidRDefault="00F52E2A" w:rsidP="0018559D">
      <w:pPr>
        <w:pStyle w:val="NormalWeb"/>
        <w:numPr>
          <w:ilvl w:val="0"/>
          <w:numId w:val="1"/>
        </w:numPr>
        <w:spacing w:before="0" w:beforeAutospacing="0" w:after="0" w:afterAutospacing="0" w:line="276" w:lineRule="auto"/>
        <w:rPr>
          <w:lang w:val="en-GB"/>
        </w:rPr>
      </w:pPr>
      <w:r w:rsidRPr="005C5C41">
        <w:rPr>
          <w:lang w:val="en-GB"/>
        </w:rPr>
        <w:t>Health Technologies</w:t>
      </w:r>
    </w:p>
    <w:p w:rsidR="00F52E2A" w:rsidRPr="005C5C41" w:rsidRDefault="00F52E2A" w:rsidP="0018559D">
      <w:pPr>
        <w:pStyle w:val="NormalWeb"/>
        <w:numPr>
          <w:ilvl w:val="0"/>
          <w:numId w:val="1"/>
        </w:numPr>
        <w:spacing w:before="0" w:beforeAutospacing="0" w:after="0" w:afterAutospacing="0" w:line="276" w:lineRule="auto"/>
        <w:rPr>
          <w:lang w:val="en-GB"/>
        </w:rPr>
      </w:pPr>
      <w:r w:rsidRPr="005C5C41">
        <w:rPr>
          <w:lang w:val="en-GB"/>
        </w:rPr>
        <w:t>Enhancement of Resources (biomass, oil shale; materials technologies and biotechnology)</w:t>
      </w:r>
    </w:p>
    <w:p w:rsidR="00514768" w:rsidRPr="005C5C41" w:rsidRDefault="00514768" w:rsidP="0018559D">
      <w:pPr>
        <w:pStyle w:val="NormalWeb"/>
        <w:spacing w:before="0" w:beforeAutospacing="0" w:after="0" w:afterAutospacing="0" w:line="276" w:lineRule="auto"/>
        <w:rPr>
          <w:lang w:val="en-GB"/>
        </w:rPr>
      </w:pPr>
    </w:p>
    <w:p w:rsidR="005C5C41" w:rsidRDefault="005C5C41" w:rsidP="0018559D">
      <w:pPr>
        <w:pStyle w:val="NormalWeb"/>
        <w:spacing w:before="0" w:beforeAutospacing="0" w:after="0" w:afterAutospacing="0" w:line="276" w:lineRule="auto"/>
        <w:rPr>
          <w:lang w:val="en-GB"/>
        </w:rPr>
      </w:pPr>
      <w:r w:rsidRPr="005C5C41">
        <w:rPr>
          <w:lang w:val="en-GB"/>
        </w:rPr>
        <w:t xml:space="preserve">In 2014 the Estonian Development Fund drafted growth areas reports, giving brief overviews of global trends, putting together SWOT analyses, selecting focus niches for each growth area and addressing main problems and possible solutions to the growth of priority areas. A weakness of the reports is that they had different authors and </w:t>
      </w:r>
      <w:r>
        <w:rPr>
          <w:lang w:val="en-GB"/>
        </w:rPr>
        <w:t>came out</w:t>
      </w:r>
      <w:r w:rsidRPr="005C5C41">
        <w:rPr>
          <w:lang w:val="en-GB"/>
        </w:rPr>
        <w:t xml:space="preserve"> a</w:t>
      </w:r>
      <w:r>
        <w:rPr>
          <w:lang w:val="en-GB"/>
        </w:rPr>
        <w:t>s</w:t>
      </w:r>
      <w:r w:rsidRPr="005C5C41">
        <w:rPr>
          <w:lang w:val="en-GB"/>
        </w:rPr>
        <w:t xml:space="preserve"> dif</w:t>
      </w:r>
      <w:r>
        <w:rPr>
          <w:lang w:val="en-GB"/>
        </w:rPr>
        <w:t>f</w:t>
      </w:r>
      <w:r w:rsidRPr="005C5C41">
        <w:rPr>
          <w:lang w:val="en-GB"/>
        </w:rPr>
        <w:t xml:space="preserve">erent </w:t>
      </w:r>
      <w:r>
        <w:rPr>
          <w:lang w:val="en-GB"/>
        </w:rPr>
        <w:t>as the titles suggest (making key findings difficult to compare).</w:t>
      </w:r>
    </w:p>
    <w:p w:rsidR="0029762B" w:rsidRDefault="0029762B" w:rsidP="0018559D">
      <w:pPr>
        <w:pStyle w:val="NormalWeb"/>
        <w:spacing w:before="0" w:beforeAutospacing="0" w:after="0" w:afterAutospacing="0" w:line="276" w:lineRule="auto"/>
        <w:rPr>
          <w:lang w:val="en-GB"/>
        </w:rPr>
      </w:pPr>
    </w:p>
    <w:p w:rsidR="0029762B" w:rsidRDefault="0029762B" w:rsidP="0018559D">
      <w:pPr>
        <w:pStyle w:val="NormalWeb"/>
        <w:spacing w:before="0" w:beforeAutospacing="0" w:after="0" w:afterAutospacing="0" w:line="276" w:lineRule="auto"/>
        <w:rPr>
          <w:lang w:val="en-GB"/>
        </w:rPr>
      </w:pPr>
      <w:r>
        <w:rPr>
          <w:lang w:val="en-GB"/>
        </w:rPr>
        <w:t xml:space="preserve">Around the time of completion of the growth area reports high-level discussions started about closing down the Estonian Development Fund. Eventually, in late 2016 </w:t>
      </w:r>
      <w:r w:rsidRPr="005C5C41">
        <w:rPr>
          <w:lang w:val="en-GB"/>
        </w:rPr>
        <w:t>the Economic Development Department of the Ministry of Economic Affairs and Communications</w:t>
      </w:r>
      <w:r>
        <w:rPr>
          <w:lang w:val="en-GB"/>
        </w:rPr>
        <w:t xml:space="preserve"> took over the responsibilities of the Estonian </w:t>
      </w:r>
      <w:r w:rsidRPr="005C5C41">
        <w:rPr>
          <w:lang w:val="en-GB"/>
        </w:rPr>
        <w:t xml:space="preserve">Smart Specialisation </w:t>
      </w:r>
      <w:r>
        <w:rPr>
          <w:lang w:val="en-GB"/>
        </w:rPr>
        <w:t>S</w:t>
      </w:r>
      <w:r w:rsidRPr="005C5C41">
        <w:rPr>
          <w:lang w:val="en-GB"/>
        </w:rPr>
        <w:t>ecretariat</w:t>
      </w:r>
      <w:r>
        <w:rPr>
          <w:lang w:val="en-GB"/>
        </w:rPr>
        <w:t>.</w:t>
      </w:r>
    </w:p>
    <w:p w:rsidR="005C5C41" w:rsidRPr="005C5C41" w:rsidRDefault="005C5C41" w:rsidP="0018559D">
      <w:pPr>
        <w:pStyle w:val="NormalWeb"/>
        <w:spacing w:before="0" w:beforeAutospacing="0" w:after="0" w:afterAutospacing="0" w:line="276" w:lineRule="auto"/>
        <w:rPr>
          <w:lang w:val="en-GB"/>
        </w:rPr>
      </w:pPr>
    </w:p>
    <w:p w:rsidR="005C5C41" w:rsidRPr="005C5C41" w:rsidRDefault="005C5C41" w:rsidP="0018559D">
      <w:pPr>
        <w:pStyle w:val="NormalWeb"/>
        <w:spacing w:before="0" w:beforeAutospacing="0" w:after="0" w:afterAutospacing="0" w:line="276" w:lineRule="auto"/>
        <w:rPr>
          <w:b/>
          <w:u w:val="single"/>
          <w:lang w:val="en-GB"/>
        </w:rPr>
      </w:pPr>
      <w:r w:rsidRPr="005C5C41">
        <w:rPr>
          <w:b/>
          <w:u w:val="single"/>
          <w:lang w:val="en-GB"/>
        </w:rPr>
        <w:t xml:space="preserve">Governance </w:t>
      </w:r>
    </w:p>
    <w:p w:rsidR="005C5C41" w:rsidRPr="005C5C41" w:rsidRDefault="005C5C41" w:rsidP="0018559D">
      <w:pPr>
        <w:pStyle w:val="NormalWeb"/>
        <w:spacing w:before="0" w:beforeAutospacing="0" w:after="0" w:afterAutospacing="0" w:line="276" w:lineRule="auto"/>
        <w:rPr>
          <w:lang w:val="en-GB"/>
        </w:rPr>
      </w:pPr>
    </w:p>
    <w:p w:rsidR="00F52E2A" w:rsidRDefault="00E93C7C" w:rsidP="0018559D">
      <w:pPr>
        <w:pStyle w:val="NormalWeb"/>
        <w:spacing w:before="0" w:beforeAutospacing="0" w:after="0" w:afterAutospacing="0" w:line="276" w:lineRule="auto"/>
        <w:rPr>
          <w:lang w:val="en-GB"/>
        </w:rPr>
      </w:pPr>
      <w:r w:rsidRPr="005C5C41">
        <w:rPr>
          <w:lang w:val="en-GB"/>
        </w:rPr>
        <w:t>Main governance body is the Smart Specialisation Steering Committ</w:t>
      </w:r>
      <w:r w:rsidR="00D86038" w:rsidRPr="005C5C41">
        <w:rPr>
          <w:lang w:val="en-GB"/>
        </w:rPr>
        <w:t>ee, comprising of seven members,</w:t>
      </w:r>
      <w:r w:rsidRPr="005C5C41">
        <w:rPr>
          <w:lang w:val="en-GB"/>
        </w:rPr>
        <w:t xml:space="preserve"> </w:t>
      </w:r>
      <w:r w:rsidR="00D86038" w:rsidRPr="005C5C41">
        <w:rPr>
          <w:lang w:val="en-GB"/>
        </w:rPr>
        <w:t xml:space="preserve">a high-level representative from each of the following: </w:t>
      </w:r>
      <w:r w:rsidRPr="005C5C41">
        <w:rPr>
          <w:lang w:val="en-GB"/>
        </w:rPr>
        <w:t>Ministry of Economic Affairs and Communications; Ministry of Education and Research; Ministry of Finance; State Chancellery; Universities Estonia; Estonian Chamber of Commerce and Industry; Association of Services Industry.</w:t>
      </w:r>
      <w:r w:rsidR="005C5C41">
        <w:rPr>
          <w:lang w:val="en-GB"/>
        </w:rPr>
        <w:t xml:space="preserve"> </w:t>
      </w:r>
    </w:p>
    <w:p w:rsidR="0029762B" w:rsidRDefault="0029762B" w:rsidP="0018559D">
      <w:pPr>
        <w:pStyle w:val="NormalWeb"/>
        <w:spacing w:before="0" w:beforeAutospacing="0" w:after="0" w:afterAutospacing="0" w:line="276" w:lineRule="auto"/>
        <w:rPr>
          <w:lang w:val="en-GB"/>
        </w:rPr>
      </w:pPr>
    </w:p>
    <w:p w:rsidR="005C5C41" w:rsidRDefault="0029762B" w:rsidP="0018559D">
      <w:pPr>
        <w:pStyle w:val="NormalWeb"/>
        <w:spacing w:before="0" w:beforeAutospacing="0" w:after="0" w:afterAutospacing="0" w:line="276" w:lineRule="auto"/>
        <w:rPr>
          <w:lang w:val="en-GB"/>
        </w:rPr>
      </w:pPr>
      <w:r w:rsidRPr="005C5C41">
        <w:rPr>
          <w:lang w:val="en-GB"/>
        </w:rPr>
        <w:lastRenderedPageBreak/>
        <w:t>The De</w:t>
      </w:r>
      <w:r>
        <w:rPr>
          <w:lang w:val="en-GB"/>
        </w:rPr>
        <w:t>puty Secretary Generals of the</w:t>
      </w:r>
      <w:r w:rsidRPr="005C5C41">
        <w:rPr>
          <w:lang w:val="en-GB"/>
        </w:rPr>
        <w:t xml:space="preserve"> </w:t>
      </w:r>
      <w:r>
        <w:rPr>
          <w:lang w:val="en-GB"/>
        </w:rPr>
        <w:t xml:space="preserve">first </w:t>
      </w:r>
      <w:r w:rsidRPr="005C5C41">
        <w:rPr>
          <w:lang w:val="en-GB"/>
        </w:rPr>
        <w:t xml:space="preserve">two ministries </w:t>
      </w:r>
      <w:r>
        <w:rPr>
          <w:lang w:val="en-GB"/>
        </w:rPr>
        <w:t xml:space="preserve">listed above </w:t>
      </w:r>
      <w:r w:rsidRPr="005C5C41">
        <w:rPr>
          <w:lang w:val="en-GB"/>
        </w:rPr>
        <w:t xml:space="preserve">hold the chair of the Smart Specialisation Steering Committee, </w:t>
      </w:r>
      <w:r>
        <w:rPr>
          <w:lang w:val="en-GB"/>
        </w:rPr>
        <w:t>taking turns</w:t>
      </w:r>
      <w:r w:rsidRPr="005C5C41">
        <w:rPr>
          <w:lang w:val="en-GB"/>
        </w:rPr>
        <w:t xml:space="preserve"> every other year.</w:t>
      </w:r>
    </w:p>
    <w:p w:rsidR="0029762B" w:rsidRDefault="0029762B" w:rsidP="0018559D">
      <w:pPr>
        <w:pStyle w:val="NormalWeb"/>
        <w:spacing w:before="0" w:beforeAutospacing="0" w:after="0" w:afterAutospacing="0" w:line="276" w:lineRule="auto"/>
        <w:rPr>
          <w:lang w:val="en-GB"/>
        </w:rPr>
      </w:pPr>
    </w:p>
    <w:p w:rsidR="005C5C41" w:rsidRPr="005C5C41" w:rsidRDefault="005C5C41" w:rsidP="0018559D">
      <w:pPr>
        <w:pStyle w:val="NormalWeb"/>
        <w:spacing w:before="0" w:beforeAutospacing="0" w:after="0" w:afterAutospacing="0" w:line="276" w:lineRule="auto"/>
        <w:rPr>
          <w:lang w:val="en-GB"/>
        </w:rPr>
      </w:pPr>
      <w:r>
        <w:rPr>
          <w:lang w:val="en-GB"/>
        </w:rPr>
        <w:t>The Heads of the Economic Deve</w:t>
      </w:r>
      <w:r w:rsidR="0029762B">
        <w:rPr>
          <w:lang w:val="en-GB"/>
        </w:rPr>
        <w:t>lopment Department and Science D</w:t>
      </w:r>
      <w:r>
        <w:rPr>
          <w:lang w:val="en-GB"/>
        </w:rPr>
        <w:t xml:space="preserve">epartment </w:t>
      </w:r>
      <w:r w:rsidR="0029762B">
        <w:rPr>
          <w:lang w:val="en-GB"/>
        </w:rPr>
        <w:t>and experts of the two key Ministries meet on a regular basis to discuss ongoing issues related to smart specialisation and to prepare for the meetings of the Steering Committee.</w:t>
      </w:r>
    </w:p>
    <w:p w:rsidR="00514768" w:rsidRDefault="00514768" w:rsidP="0018559D">
      <w:pPr>
        <w:pStyle w:val="NormalWeb"/>
        <w:spacing w:before="0" w:beforeAutospacing="0" w:after="0" w:afterAutospacing="0" w:line="276" w:lineRule="auto"/>
        <w:rPr>
          <w:lang w:val="en-GB"/>
        </w:rPr>
      </w:pPr>
    </w:p>
    <w:p w:rsidR="005C5C41" w:rsidRPr="005C5C41" w:rsidRDefault="005C5C41" w:rsidP="0018559D">
      <w:pPr>
        <w:pStyle w:val="NormalWeb"/>
        <w:spacing w:before="0" w:beforeAutospacing="0" w:after="0" w:afterAutospacing="0" w:line="276" w:lineRule="auto"/>
        <w:rPr>
          <w:b/>
          <w:u w:val="single"/>
          <w:lang w:val="en-GB"/>
        </w:rPr>
      </w:pPr>
      <w:r w:rsidRPr="005C5C41">
        <w:rPr>
          <w:b/>
          <w:u w:val="single"/>
          <w:lang w:val="en-GB"/>
        </w:rPr>
        <w:t>Support Measures</w:t>
      </w:r>
    </w:p>
    <w:p w:rsidR="005C5C41" w:rsidRPr="005C5C41" w:rsidRDefault="005C5C41" w:rsidP="0018559D">
      <w:pPr>
        <w:pStyle w:val="NormalWeb"/>
        <w:spacing w:before="0" w:beforeAutospacing="0" w:after="0" w:afterAutospacing="0" w:line="276" w:lineRule="auto"/>
        <w:rPr>
          <w:lang w:val="en-GB"/>
        </w:rPr>
      </w:pPr>
    </w:p>
    <w:p w:rsidR="00E93C7C" w:rsidRPr="005C5C41" w:rsidRDefault="00E93C7C" w:rsidP="0018559D">
      <w:pPr>
        <w:pStyle w:val="NormalWeb"/>
        <w:spacing w:before="0" w:beforeAutospacing="0" w:after="0" w:afterAutospacing="0" w:line="276" w:lineRule="auto"/>
        <w:rPr>
          <w:lang w:val="en-GB"/>
        </w:rPr>
      </w:pPr>
      <w:r w:rsidRPr="005C5C41">
        <w:rPr>
          <w:lang w:val="en-GB"/>
        </w:rPr>
        <w:t>Six financial support measures have been implemented since 2014 to support the growth of priority areas:</w:t>
      </w:r>
    </w:p>
    <w:p w:rsidR="00E93C7C"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Technology Development Centres</w:t>
      </w:r>
    </w:p>
    <w:p w:rsidR="00E93C7C"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Clusters</w:t>
      </w:r>
    </w:p>
    <w:p w:rsidR="00E93C7C"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Innovative Procurement</w:t>
      </w:r>
    </w:p>
    <w:p w:rsidR="00E93C7C"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Startup Estonia programme</w:t>
      </w:r>
    </w:p>
    <w:p w:rsidR="00E93C7C"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Support for Applied Research</w:t>
      </w:r>
    </w:p>
    <w:p w:rsidR="00F52E2A" w:rsidRPr="005C5C41" w:rsidRDefault="00E93C7C" w:rsidP="0018559D">
      <w:pPr>
        <w:pStyle w:val="NormalWeb"/>
        <w:numPr>
          <w:ilvl w:val="0"/>
          <w:numId w:val="3"/>
        </w:numPr>
        <w:spacing w:before="0" w:beforeAutospacing="0" w:after="0" w:afterAutospacing="0" w:line="276" w:lineRule="auto"/>
        <w:rPr>
          <w:lang w:val="en-GB"/>
        </w:rPr>
      </w:pPr>
      <w:r w:rsidRPr="005C5C41">
        <w:rPr>
          <w:lang w:val="en-GB"/>
        </w:rPr>
        <w:t>Scholarships</w:t>
      </w:r>
    </w:p>
    <w:p w:rsidR="00E93C7C" w:rsidRDefault="00E93C7C" w:rsidP="0018559D">
      <w:pPr>
        <w:pStyle w:val="NormalWeb"/>
        <w:spacing w:before="0" w:beforeAutospacing="0" w:after="0" w:afterAutospacing="0" w:line="276" w:lineRule="auto"/>
        <w:rPr>
          <w:lang w:val="en-GB"/>
        </w:rPr>
      </w:pPr>
    </w:p>
    <w:p w:rsidR="0029762B" w:rsidRPr="0029762B" w:rsidRDefault="0029762B" w:rsidP="0018559D">
      <w:pPr>
        <w:pStyle w:val="NormalWeb"/>
        <w:spacing w:before="0" w:beforeAutospacing="0" w:after="0" w:afterAutospacing="0" w:line="276" w:lineRule="auto"/>
        <w:rPr>
          <w:b/>
          <w:u w:val="single"/>
          <w:lang w:val="en-GB"/>
        </w:rPr>
      </w:pPr>
      <w:r w:rsidRPr="0029762B">
        <w:rPr>
          <w:b/>
          <w:u w:val="single"/>
          <w:lang w:val="en-GB"/>
        </w:rPr>
        <w:t>EDP</w:t>
      </w:r>
      <w:r w:rsidR="009825DC">
        <w:rPr>
          <w:b/>
          <w:u w:val="single"/>
          <w:lang w:val="en-GB"/>
        </w:rPr>
        <w:t xml:space="preserve"> and Challenges Faced</w:t>
      </w:r>
    </w:p>
    <w:p w:rsidR="0029762B" w:rsidRPr="005C5C41" w:rsidRDefault="0029762B" w:rsidP="0018559D">
      <w:pPr>
        <w:pStyle w:val="NormalWeb"/>
        <w:spacing w:before="0" w:beforeAutospacing="0" w:after="0" w:afterAutospacing="0" w:line="276" w:lineRule="auto"/>
        <w:rPr>
          <w:lang w:val="en-GB"/>
        </w:rPr>
      </w:pPr>
    </w:p>
    <w:p w:rsidR="00452782" w:rsidRDefault="0029762B" w:rsidP="0018559D">
      <w:pPr>
        <w:pStyle w:val="NormalWeb"/>
        <w:spacing w:before="0" w:beforeAutospacing="0" w:after="0" w:afterAutospacing="0" w:line="276" w:lineRule="auto"/>
        <w:rPr>
          <w:lang w:val="en-GB"/>
        </w:rPr>
      </w:pPr>
      <w:r>
        <w:rPr>
          <w:lang w:val="en-GB"/>
        </w:rPr>
        <w:t xml:space="preserve">Taking a critical stance, it could be said that </w:t>
      </w:r>
      <w:r w:rsidR="00E93C7C" w:rsidRPr="005C5C41">
        <w:rPr>
          <w:lang w:val="en-GB"/>
        </w:rPr>
        <w:t xml:space="preserve">Estonia has implemented </w:t>
      </w:r>
      <w:r>
        <w:rPr>
          <w:lang w:val="en-GB"/>
        </w:rPr>
        <w:t xml:space="preserve">only </w:t>
      </w:r>
      <w:r w:rsidR="00E93C7C" w:rsidRPr="005C5C41">
        <w:rPr>
          <w:lang w:val="en-GB"/>
        </w:rPr>
        <w:t xml:space="preserve">fragments of EDP. There were active stakeholder engagement efforts made as part of the growth areas selection process, but subsequently the body that </w:t>
      </w:r>
      <w:r w:rsidR="00452782" w:rsidRPr="005C5C41">
        <w:rPr>
          <w:lang w:val="en-GB"/>
        </w:rPr>
        <w:t xml:space="preserve">lead this process (Estonian Development Fund) underwent a liquidation. </w:t>
      </w:r>
    </w:p>
    <w:p w:rsidR="0029762B" w:rsidRPr="005C5C41" w:rsidRDefault="0029762B" w:rsidP="0018559D">
      <w:pPr>
        <w:pStyle w:val="NormalWeb"/>
        <w:spacing w:before="0" w:beforeAutospacing="0" w:after="0" w:afterAutospacing="0" w:line="276" w:lineRule="auto"/>
        <w:rPr>
          <w:lang w:val="en-GB"/>
        </w:rPr>
      </w:pPr>
    </w:p>
    <w:p w:rsidR="00452782" w:rsidRPr="005C5C41" w:rsidRDefault="00452782" w:rsidP="0018559D">
      <w:pPr>
        <w:pStyle w:val="NormalWeb"/>
        <w:spacing w:before="0" w:beforeAutospacing="0" w:after="0" w:afterAutospacing="0" w:line="276" w:lineRule="auto"/>
        <w:rPr>
          <w:lang w:val="en-GB"/>
        </w:rPr>
      </w:pPr>
      <w:r w:rsidRPr="005C5C41">
        <w:rPr>
          <w:lang w:val="en-GB"/>
        </w:rPr>
        <w:t>RIS3 related challenges that Estonia is facing:</w:t>
      </w:r>
    </w:p>
    <w:p w:rsidR="00452782" w:rsidRPr="005C5C41" w:rsidRDefault="00452782" w:rsidP="0018559D">
      <w:pPr>
        <w:pStyle w:val="NormalWeb"/>
        <w:numPr>
          <w:ilvl w:val="0"/>
          <w:numId w:val="4"/>
        </w:numPr>
        <w:spacing w:before="0" w:beforeAutospacing="0" w:after="0" w:afterAutospacing="0" w:line="276" w:lineRule="auto"/>
        <w:rPr>
          <w:lang w:val="en-GB"/>
        </w:rPr>
      </w:pPr>
      <w:r w:rsidRPr="005C5C41">
        <w:rPr>
          <w:lang w:val="en-GB"/>
        </w:rPr>
        <w:t xml:space="preserve">When priority areas were selected in 2012-2013, the Research and Development Council advising the Government adopted </w:t>
      </w:r>
      <w:r w:rsidR="00783298" w:rsidRPr="005C5C41">
        <w:rPr>
          <w:lang w:val="en-GB"/>
        </w:rPr>
        <w:t>a</w:t>
      </w:r>
      <w:r w:rsidRPr="005C5C41">
        <w:rPr>
          <w:lang w:val="en-GB"/>
        </w:rPr>
        <w:t xml:space="preserve"> position that the priority areas should not be defined narrowly. </w:t>
      </w:r>
      <w:r w:rsidR="0029762B">
        <w:rPr>
          <w:lang w:val="en-GB"/>
        </w:rPr>
        <w:t>So</w:t>
      </w:r>
      <w:r w:rsidRPr="005C5C41">
        <w:rPr>
          <w:lang w:val="en-GB"/>
        </w:rPr>
        <w:t xml:space="preserve"> currently the </w:t>
      </w:r>
      <w:r w:rsidR="0029762B">
        <w:rPr>
          <w:lang w:val="en-GB"/>
        </w:rPr>
        <w:t xml:space="preserve">Estonian </w:t>
      </w:r>
      <w:r w:rsidRPr="005C5C41">
        <w:rPr>
          <w:lang w:val="en-GB"/>
        </w:rPr>
        <w:t>priority areas are wide</w:t>
      </w:r>
      <w:r w:rsidR="00783298" w:rsidRPr="005C5C41">
        <w:rPr>
          <w:lang w:val="en-GB"/>
        </w:rPr>
        <w:t>, making it difficult to prioritise action and implement close monitoring of progress</w:t>
      </w:r>
      <w:r w:rsidRPr="005C5C41">
        <w:rPr>
          <w:lang w:val="en-GB"/>
        </w:rPr>
        <w:t>.</w:t>
      </w:r>
      <w:r w:rsidR="00783298" w:rsidRPr="005C5C41">
        <w:rPr>
          <w:lang w:val="en-GB"/>
        </w:rPr>
        <w:t xml:space="preserve"> At the same time strong interest groups oppose narrowing priority areas</w:t>
      </w:r>
      <w:r w:rsidR="009825DC">
        <w:rPr>
          <w:lang w:val="en-GB"/>
        </w:rPr>
        <w:t xml:space="preserve"> down</w:t>
      </w:r>
      <w:r w:rsidR="00783298" w:rsidRPr="005C5C41">
        <w:rPr>
          <w:lang w:val="en-GB"/>
        </w:rPr>
        <w:t>. In 2018 a larger study will be carried out to evaluate the progress of priority areas. The results of the study should help clarify the picture and move towards narrowing priorities.</w:t>
      </w:r>
    </w:p>
    <w:p w:rsidR="00823503" w:rsidRPr="005C5C41" w:rsidRDefault="00823503" w:rsidP="0018559D">
      <w:pPr>
        <w:pStyle w:val="NormalWeb"/>
        <w:numPr>
          <w:ilvl w:val="0"/>
          <w:numId w:val="4"/>
        </w:numPr>
        <w:spacing w:before="0" w:beforeAutospacing="0" w:after="0" w:afterAutospacing="0" w:line="276" w:lineRule="auto"/>
        <w:rPr>
          <w:lang w:val="en-GB"/>
        </w:rPr>
      </w:pPr>
      <w:r w:rsidRPr="005C5C41">
        <w:rPr>
          <w:lang w:val="en-GB"/>
        </w:rPr>
        <w:t xml:space="preserve">The support measures implemented in benefit of priority areas are financed from EU structural funds and </w:t>
      </w:r>
      <w:r w:rsidR="0029762B">
        <w:rPr>
          <w:lang w:val="en-GB"/>
        </w:rPr>
        <w:t xml:space="preserve">thus </w:t>
      </w:r>
      <w:r w:rsidRPr="005C5C41">
        <w:rPr>
          <w:lang w:val="en-GB"/>
        </w:rPr>
        <w:t xml:space="preserve">are not flexible. </w:t>
      </w:r>
      <w:r w:rsidR="00783298" w:rsidRPr="005C5C41">
        <w:rPr>
          <w:lang w:val="en-GB"/>
        </w:rPr>
        <w:t xml:space="preserve">There is little space for project selection over the period, </w:t>
      </w:r>
      <w:r w:rsidR="00615019">
        <w:rPr>
          <w:lang w:val="en-GB"/>
        </w:rPr>
        <w:t xml:space="preserve">due to differences in their aims and set-up </w:t>
      </w:r>
      <w:r w:rsidR="00783298" w:rsidRPr="005C5C41">
        <w:rPr>
          <w:lang w:val="en-GB"/>
        </w:rPr>
        <w:t>some measures only had one or two calls.</w:t>
      </w:r>
    </w:p>
    <w:p w:rsidR="00615019" w:rsidRDefault="00615019" w:rsidP="0018559D">
      <w:pPr>
        <w:pStyle w:val="NormalWeb"/>
        <w:numPr>
          <w:ilvl w:val="0"/>
          <w:numId w:val="4"/>
        </w:numPr>
        <w:spacing w:before="0" w:beforeAutospacing="0" w:after="0" w:afterAutospacing="0" w:line="276" w:lineRule="auto"/>
        <w:rPr>
          <w:lang w:val="en-GB"/>
        </w:rPr>
      </w:pPr>
      <w:r>
        <w:rPr>
          <w:lang w:val="en-GB"/>
        </w:rPr>
        <w:t>Re-starting</w:t>
      </w:r>
      <w:r w:rsidR="00783298" w:rsidRPr="005C5C41">
        <w:rPr>
          <w:lang w:val="en-GB"/>
        </w:rPr>
        <w:t xml:space="preserve"> EDP that would </w:t>
      </w:r>
      <w:r w:rsidR="007F60FA" w:rsidRPr="005C5C41">
        <w:rPr>
          <w:lang w:val="en-GB"/>
        </w:rPr>
        <w:t>encompass</w:t>
      </w:r>
      <w:r w:rsidR="00783298" w:rsidRPr="005C5C41">
        <w:rPr>
          <w:lang w:val="en-GB"/>
        </w:rPr>
        <w:t xml:space="preserve"> wide and balanced, continuous and regular stakeholder engagement. The key actors involved with the Estonian RIS3 have frequent communications with relevant stakeholders, but not in a format designed specifically for EDP. A related issue is that the Smart Specialisation Secretariat is comprised of 1-2 staff only, who hold administrative tasks related to the work of the Smart Specialisation Steering Committee, RIS3 international affairs, reporting on progress to European Commission, as well as monitoring and analytical tasks</w:t>
      </w:r>
      <w:r>
        <w:rPr>
          <w:lang w:val="en-GB"/>
        </w:rPr>
        <w:t xml:space="preserve"> and building/strengthening relationships domestically and interregionally</w:t>
      </w:r>
      <w:r w:rsidR="00783298" w:rsidRPr="005C5C41">
        <w:rPr>
          <w:lang w:val="en-GB"/>
        </w:rPr>
        <w:t>.</w:t>
      </w:r>
    </w:p>
    <w:p w:rsidR="00615019" w:rsidRDefault="00615019" w:rsidP="0018559D">
      <w:pPr>
        <w:pStyle w:val="NormalWeb"/>
        <w:numPr>
          <w:ilvl w:val="0"/>
          <w:numId w:val="4"/>
        </w:numPr>
        <w:spacing w:before="0" w:beforeAutospacing="0" w:after="0" w:afterAutospacing="0" w:line="276" w:lineRule="auto"/>
        <w:rPr>
          <w:lang w:val="en-GB"/>
        </w:rPr>
      </w:pPr>
      <w:r w:rsidRPr="00615019">
        <w:rPr>
          <w:lang w:val="en-GB"/>
        </w:rPr>
        <w:t>One option we’re considering for the structure of EDP is to add a second, lower tier to the Steering Committee. This tier would be made up of working groups</w:t>
      </w:r>
      <w:r>
        <w:rPr>
          <w:lang w:val="en-GB"/>
        </w:rPr>
        <w:t xml:space="preserve"> and the number and title (theme and tasks) of the working groups could be changed from time to time, as new windows of opportunities open, others close, and certain problems that have been worked on in cooperation get solved. The key benefit of the second tier would be enhanced capacity and capability for smart specialisation work taken on by the Steering Committee with the support of the small </w:t>
      </w:r>
      <w:r w:rsidR="006A7D7D">
        <w:rPr>
          <w:lang w:val="en-GB"/>
        </w:rPr>
        <w:t>Secretariat.</w:t>
      </w:r>
      <w:r>
        <w:rPr>
          <w:lang w:val="en-GB"/>
        </w:rPr>
        <w:t xml:space="preserve"> </w:t>
      </w:r>
      <w:r w:rsidR="006A7D7D">
        <w:rPr>
          <w:lang w:val="en-GB"/>
        </w:rPr>
        <w:t>A key difficulty relates to motivating stakeholders to participate in the work of the second tier and compiling the members of the working groups with most relevant people – in a small country like Estonia, the pool of the people able to take part in discussions over innovation and to implement innovation in reality is small, so the same people sit in different decision-making, advisory and working groups.</w:t>
      </w:r>
    </w:p>
    <w:sectPr w:rsidR="006150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B9" w:rsidRDefault="00B643B9" w:rsidP="0018559D">
      <w:pPr>
        <w:spacing w:after="0" w:line="240" w:lineRule="auto"/>
      </w:pPr>
      <w:r>
        <w:separator/>
      </w:r>
    </w:p>
  </w:endnote>
  <w:endnote w:type="continuationSeparator" w:id="0">
    <w:p w:rsidR="00B643B9" w:rsidRDefault="00B643B9" w:rsidP="0018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B9" w:rsidRDefault="00B643B9" w:rsidP="0018559D">
      <w:pPr>
        <w:spacing w:after="0" w:line="240" w:lineRule="auto"/>
      </w:pPr>
      <w:r>
        <w:separator/>
      </w:r>
    </w:p>
  </w:footnote>
  <w:footnote w:type="continuationSeparator" w:id="0">
    <w:p w:rsidR="00B643B9" w:rsidRDefault="00B643B9" w:rsidP="0018559D">
      <w:pPr>
        <w:spacing w:after="0" w:line="240" w:lineRule="auto"/>
      </w:pPr>
      <w:r>
        <w:continuationSeparator/>
      </w:r>
    </w:p>
  </w:footnote>
  <w:footnote w:id="1">
    <w:p w:rsidR="0018559D" w:rsidRPr="0018559D" w:rsidRDefault="0018559D">
      <w:pPr>
        <w:pStyle w:val="FootnoteText"/>
        <w:rPr>
          <w:rFonts w:ascii="Times New Roman" w:hAnsi="Times New Roman" w:cs="Times New Roman"/>
        </w:rPr>
      </w:pPr>
      <w:r w:rsidRPr="0018559D">
        <w:rPr>
          <w:rStyle w:val="FootnoteReference"/>
          <w:rFonts w:ascii="Times New Roman" w:hAnsi="Times New Roman" w:cs="Times New Roman"/>
        </w:rPr>
        <w:footnoteRef/>
      </w:r>
      <w:r w:rsidRPr="0018559D">
        <w:rPr>
          <w:rFonts w:ascii="Times New Roman" w:hAnsi="Times New Roman" w:cs="Times New Roman"/>
        </w:rPr>
        <w:t xml:space="preserve"> Source: The Ministry of Education and Research website: </w:t>
      </w:r>
      <w:hyperlink r:id="rId1" w:history="1">
        <w:r w:rsidRPr="0018559D">
          <w:rPr>
            <w:rStyle w:val="Hyperlink"/>
            <w:rFonts w:ascii="Times New Roman" w:hAnsi="Times New Roman" w:cs="Times New Roman"/>
          </w:rPr>
          <w:t>https://www.hm.ee/en/activities/research-and-development</w:t>
        </w:r>
      </w:hyperlink>
      <w:r w:rsidRPr="0018559D">
        <w:rPr>
          <w:rFonts w:ascii="Times New Roman" w:hAnsi="Times New Roman" w:cs="Times New Roman"/>
        </w:rPr>
        <w:t>. Accessed 5 March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6EE"/>
    <w:multiLevelType w:val="hybridMultilevel"/>
    <w:tmpl w:val="16A05B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5744D0"/>
    <w:multiLevelType w:val="hybridMultilevel"/>
    <w:tmpl w:val="4B22A7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155457E"/>
    <w:multiLevelType w:val="hybridMultilevel"/>
    <w:tmpl w:val="6BA2C89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649160D0"/>
    <w:multiLevelType w:val="hybridMultilevel"/>
    <w:tmpl w:val="0884FAEA"/>
    <w:lvl w:ilvl="0" w:tplc="EC4EF53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D6055FC"/>
    <w:multiLevelType w:val="hybridMultilevel"/>
    <w:tmpl w:val="D69EF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2E2A"/>
    <w:rsid w:val="000A02AA"/>
    <w:rsid w:val="0018559D"/>
    <w:rsid w:val="0029762B"/>
    <w:rsid w:val="00372ECE"/>
    <w:rsid w:val="00452782"/>
    <w:rsid w:val="00514768"/>
    <w:rsid w:val="005C5C41"/>
    <w:rsid w:val="00615019"/>
    <w:rsid w:val="006431A8"/>
    <w:rsid w:val="006A7D7D"/>
    <w:rsid w:val="00783298"/>
    <w:rsid w:val="007A029A"/>
    <w:rsid w:val="007F60FA"/>
    <w:rsid w:val="00823503"/>
    <w:rsid w:val="009825DC"/>
    <w:rsid w:val="00B643B9"/>
    <w:rsid w:val="00D86038"/>
    <w:rsid w:val="00E93C7C"/>
    <w:rsid w:val="00F52E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E2A"/>
    <w:rPr>
      <w:b/>
      <w:bCs/>
    </w:rPr>
  </w:style>
  <w:style w:type="paragraph" w:styleId="NormalWeb">
    <w:name w:val="Normal (Web)"/>
    <w:basedOn w:val="Normal"/>
    <w:uiPriority w:val="99"/>
    <w:unhideWhenUsed/>
    <w:rsid w:val="00F52E2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TMLAcronym">
    <w:name w:val="HTML Acronym"/>
    <w:basedOn w:val="DefaultParagraphFont"/>
    <w:uiPriority w:val="99"/>
    <w:semiHidden/>
    <w:unhideWhenUsed/>
    <w:rsid w:val="00F52E2A"/>
  </w:style>
  <w:style w:type="paragraph" w:styleId="FootnoteText">
    <w:name w:val="footnote text"/>
    <w:basedOn w:val="Normal"/>
    <w:link w:val="FootnoteTextChar"/>
    <w:uiPriority w:val="99"/>
    <w:semiHidden/>
    <w:unhideWhenUsed/>
    <w:rsid w:val="00185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59D"/>
    <w:rPr>
      <w:sz w:val="20"/>
      <w:szCs w:val="20"/>
    </w:rPr>
  </w:style>
  <w:style w:type="character" w:styleId="FootnoteReference">
    <w:name w:val="footnote reference"/>
    <w:basedOn w:val="DefaultParagraphFont"/>
    <w:uiPriority w:val="99"/>
    <w:semiHidden/>
    <w:unhideWhenUsed/>
    <w:rsid w:val="0018559D"/>
    <w:rPr>
      <w:vertAlign w:val="superscript"/>
    </w:rPr>
  </w:style>
  <w:style w:type="character" w:styleId="Hyperlink">
    <w:name w:val="Hyperlink"/>
    <w:basedOn w:val="DefaultParagraphFont"/>
    <w:uiPriority w:val="99"/>
    <w:unhideWhenUsed/>
    <w:rsid w:val="001855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E2A"/>
    <w:rPr>
      <w:b/>
      <w:bCs/>
    </w:rPr>
  </w:style>
  <w:style w:type="paragraph" w:styleId="NormalWeb">
    <w:name w:val="Normal (Web)"/>
    <w:basedOn w:val="Normal"/>
    <w:uiPriority w:val="99"/>
    <w:unhideWhenUsed/>
    <w:rsid w:val="00F52E2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TMLAcronym">
    <w:name w:val="HTML Acronym"/>
    <w:basedOn w:val="DefaultParagraphFont"/>
    <w:uiPriority w:val="99"/>
    <w:semiHidden/>
    <w:unhideWhenUsed/>
    <w:rsid w:val="00F52E2A"/>
  </w:style>
  <w:style w:type="paragraph" w:styleId="FootnoteText">
    <w:name w:val="footnote text"/>
    <w:basedOn w:val="Normal"/>
    <w:link w:val="FootnoteTextChar"/>
    <w:uiPriority w:val="99"/>
    <w:semiHidden/>
    <w:unhideWhenUsed/>
    <w:rsid w:val="00185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59D"/>
    <w:rPr>
      <w:sz w:val="20"/>
      <w:szCs w:val="20"/>
    </w:rPr>
  </w:style>
  <w:style w:type="character" w:styleId="FootnoteReference">
    <w:name w:val="footnote reference"/>
    <w:basedOn w:val="DefaultParagraphFont"/>
    <w:uiPriority w:val="99"/>
    <w:semiHidden/>
    <w:unhideWhenUsed/>
    <w:rsid w:val="0018559D"/>
    <w:rPr>
      <w:vertAlign w:val="superscript"/>
    </w:rPr>
  </w:style>
  <w:style w:type="character" w:styleId="Hyperlink">
    <w:name w:val="Hyperlink"/>
    <w:basedOn w:val="DefaultParagraphFont"/>
    <w:uiPriority w:val="99"/>
    <w:unhideWhenUsed/>
    <w:rsid w:val="00185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6788">
      <w:bodyDiv w:val="1"/>
      <w:marLeft w:val="0"/>
      <w:marRight w:val="0"/>
      <w:marTop w:val="0"/>
      <w:marBottom w:val="0"/>
      <w:divBdr>
        <w:top w:val="none" w:sz="0" w:space="0" w:color="auto"/>
        <w:left w:val="none" w:sz="0" w:space="0" w:color="auto"/>
        <w:bottom w:val="none" w:sz="0" w:space="0" w:color="auto"/>
        <w:right w:val="none" w:sz="0" w:space="0" w:color="auto"/>
      </w:divBdr>
    </w:div>
    <w:div w:id="999112744">
      <w:bodyDiv w:val="1"/>
      <w:marLeft w:val="0"/>
      <w:marRight w:val="0"/>
      <w:marTop w:val="0"/>
      <w:marBottom w:val="0"/>
      <w:divBdr>
        <w:top w:val="none" w:sz="0" w:space="0" w:color="auto"/>
        <w:left w:val="none" w:sz="0" w:space="0" w:color="auto"/>
        <w:bottom w:val="none" w:sz="0" w:space="0" w:color="auto"/>
        <w:right w:val="none" w:sz="0" w:space="0" w:color="auto"/>
      </w:divBdr>
    </w:div>
    <w:div w:id="1164517254">
      <w:bodyDiv w:val="1"/>
      <w:marLeft w:val="0"/>
      <w:marRight w:val="0"/>
      <w:marTop w:val="0"/>
      <w:marBottom w:val="0"/>
      <w:divBdr>
        <w:top w:val="none" w:sz="0" w:space="0" w:color="auto"/>
        <w:left w:val="none" w:sz="0" w:space="0" w:color="auto"/>
        <w:bottom w:val="none" w:sz="0" w:space="0" w:color="auto"/>
        <w:right w:val="none" w:sz="0" w:space="0" w:color="auto"/>
      </w:divBdr>
      <w:divsChild>
        <w:div w:id="1114590452">
          <w:marLeft w:val="0"/>
          <w:marRight w:val="0"/>
          <w:marTop w:val="0"/>
          <w:marBottom w:val="0"/>
          <w:divBdr>
            <w:top w:val="none" w:sz="0" w:space="0" w:color="auto"/>
            <w:left w:val="none" w:sz="0" w:space="0" w:color="auto"/>
            <w:bottom w:val="none" w:sz="0" w:space="0" w:color="auto"/>
            <w:right w:val="none" w:sz="0" w:space="0" w:color="auto"/>
          </w:divBdr>
          <w:divsChild>
            <w:div w:id="834420465">
              <w:marLeft w:val="0"/>
              <w:marRight w:val="0"/>
              <w:marTop w:val="0"/>
              <w:marBottom w:val="0"/>
              <w:divBdr>
                <w:top w:val="none" w:sz="0" w:space="0" w:color="auto"/>
                <w:left w:val="none" w:sz="0" w:space="0" w:color="auto"/>
                <w:bottom w:val="none" w:sz="0" w:space="0" w:color="auto"/>
                <w:right w:val="none" w:sz="0" w:space="0" w:color="auto"/>
              </w:divBdr>
              <w:divsChild>
                <w:div w:id="379793826">
                  <w:marLeft w:val="0"/>
                  <w:marRight w:val="0"/>
                  <w:marTop w:val="0"/>
                  <w:marBottom w:val="0"/>
                  <w:divBdr>
                    <w:top w:val="none" w:sz="0" w:space="0" w:color="auto"/>
                    <w:left w:val="none" w:sz="0" w:space="0" w:color="auto"/>
                    <w:bottom w:val="none" w:sz="0" w:space="0" w:color="auto"/>
                    <w:right w:val="none" w:sz="0" w:space="0" w:color="auto"/>
                  </w:divBdr>
                  <w:divsChild>
                    <w:div w:id="128210881">
                      <w:marLeft w:val="0"/>
                      <w:marRight w:val="0"/>
                      <w:marTop w:val="0"/>
                      <w:marBottom w:val="0"/>
                      <w:divBdr>
                        <w:top w:val="none" w:sz="0" w:space="0" w:color="auto"/>
                        <w:left w:val="none" w:sz="0" w:space="0" w:color="auto"/>
                        <w:bottom w:val="none" w:sz="0" w:space="0" w:color="auto"/>
                        <w:right w:val="none" w:sz="0" w:space="0" w:color="auto"/>
                      </w:divBdr>
                      <w:divsChild>
                        <w:div w:id="672149734">
                          <w:marLeft w:val="0"/>
                          <w:marRight w:val="0"/>
                          <w:marTop w:val="0"/>
                          <w:marBottom w:val="0"/>
                          <w:divBdr>
                            <w:top w:val="none" w:sz="0" w:space="0" w:color="auto"/>
                            <w:left w:val="none" w:sz="0" w:space="0" w:color="auto"/>
                            <w:bottom w:val="none" w:sz="0" w:space="0" w:color="auto"/>
                            <w:right w:val="none" w:sz="0" w:space="0" w:color="auto"/>
                          </w:divBdr>
                          <w:divsChild>
                            <w:div w:id="2026784510">
                              <w:marLeft w:val="0"/>
                              <w:marRight w:val="0"/>
                              <w:marTop w:val="0"/>
                              <w:marBottom w:val="0"/>
                              <w:divBdr>
                                <w:top w:val="none" w:sz="0" w:space="0" w:color="auto"/>
                                <w:left w:val="none" w:sz="0" w:space="0" w:color="auto"/>
                                <w:bottom w:val="none" w:sz="0" w:space="0" w:color="auto"/>
                                <w:right w:val="none" w:sz="0" w:space="0" w:color="auto"/>
                              </w:divBdr>
                              <w:divsChild>
                                <w:div w:id="1300502706">
                                  <w:marLeft w:val="0"/>
                                  <w:marRight w:val="0"/>
                                  <w:marTop w:val="0"/>
                                  <w:marBottom w:val="0"/>
                                  <w:divBdr>
                                    <w:top w:val="none" w:sz="0" w:space="0" w:color="auto"/>
                                    <w:left w:val="none" w:sz="0" w:space="0" w:color="auto"/>
                                    <w:bottom w:val="none" w:sz="0" w:space="0" w:color="auto"/>
                                    <w:right w:val="none" w:sz="0" w:space="0" w:color="auto"/>
                                  </w:divBdr>
                                  <w:divsChild>
                                    <w:div w:id="962349710">
                                      <w:marLeft w:val="0"/>
                                      <w:marRight w:val="0"/>
                                      <w:marTop w:val="0"/>
                                      <w:marBottom w:val="0"/>
                                      <w:divBdr>
                                        <w:top w:val="none" w:sz="0" w:space="0" w:color="auto"/>
                                        <w:left w:val="none" w:sz="0" w:space="0" w:color="auto"/>
                                        <w:bottom w:val="none" w:sz="0" w:space="0" w:color="auto"/>
                                        <w:right w:val="none" w:sz="0" w:space="0" w:color="auto"/>
                                      </w:divBdr>
                                      <w:divsChild>
                                        <w:div w:id="1549563413">
                                          <w:marLeft w:val="0"/>
                                          <w:marRight w:val="0"/>
                                          <w:marTop w:val="0"/>
                                          <w:marBottom w:val="0"/>
                                          <w:divBdr>
                                            <w:top w:val="none" w:sz="0" w:space="0" w:color="auto"/>
                                            <w:left w:val="none" w:sz="0" w:space="0" w:color="auto"/>
                                            <w:bottom w:val="none" w:sz="0" w:space="0" w:color="auto"/>
                                            <w:right w:val="none" w:sz="0" w:space="0" w:color="auto"/>
                                          </w:divBdr>
                                          <w:divsChild>
                                            <w:div w:id="1563756413">
                                              <w:marLeft w:val="0"/>
                                              <w:marRight w:val="0"/>
                                              <w:marTop w:val="0"/>
                                              <w:marBottom w:val="0"/>
                                              <w:divBdr>
                                                <w:top w:val="none" w:sz="0" w:space="0" w:color="auto"/>
                                                <w:left w:val="none" w:sz="0" w:space="0" w:color="auto"/>
                                                <w:bottom w:val="none" w:sz="0" w:space="0" w:color="auto"/>
                                                <w:right w:val="none" w:sz="0" w:space="0" w:color="auto"/>
                                              </w:divBdr>
                                              <w:divsChild>
                                                <w:div w:id="289634361">
                                                  <w:marLeft w:val="0"/>
                                                  <w:marRight w:val="0"/>
                                                  <w:marTop w:val="0"/>
                                                  <w:marBottom w:val="0"/>
                                                  <w:divBdr>
                                                    <w:top w:val="none" w:sz="0" w:space="0" w:color="auto"/>
                                                    <w:left w:val="none" w:sz="0" w:space="0" w:color="auto"/>
                                                    <w:bottom w:val="none" w:sz="0" w:space="0" w:color="auto"/>
                                                    <w:right w:val="none" w:sz="0" w:space="0" w:color="auto"/>
                                                  </w:divBdr>
                                                  <w:divsChild>
                                                    <w:div w:id="3348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m.ee/en/activities/research-and-developmen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72D1-4CA5-4E58-B262-B1DD5F6B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4</DocSecurity>
  <Lines>143</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Arengu</dc:creator>
  <cp:lastModifiedBy>PERIANEZ FORTE Inmaculada (JRC-SEVILLA)</cp:lastModifiedBy>
  <cp:revision>2</cp:revision>
  <dcterms:created xsi:type="dcterms:W3CDTF">2018-03-05T11:11:00Z</dcterms:created>
  <dcterms:modified xsi:type="dcterms:W3CDTF">2018-03-05T11:11:00Z</dcterms:modified>
</cp:coreProperties>
</file>